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30"/>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四川铁道职业学院拟对官网和数据中心三级等保测评服务项目进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官网和数据中心三级等保测评服务</w:t>
      </w:r>
    </w:p>
    <w:p>
      <w:p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二、项目编号：</w:t>
      </w:r>
      <w:r>
        <w:rPr>
          <w:rFonts w:hint="eastAsia" w:ascii="宋体" w:hAnsi="宋体" w:eastAsia="宋体" w:cs="Times New Roman"/>
          <w:sz w:val="24"/>
          <w:szCs w:val="24"/>
        </w:rPr>
        <w:t>CTZY-CG-2024029</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本次比选公告在四川铁道职业学院官网（https://www.scrc.org.cn/）发布。 </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w:t>
      </w:r>
      <w:r>
        <w:rPr>
          <w:rFonts w:ascii="宋体" w:hAnsi="宋体" w:eastAsia="宋体" w:cs="Times New Roman"/>
          <w:sz w:val="24"/>
          <w:szCs w:val="24"/>
        </w:rPr>
        <w:t>年</w:t>
      </w:r>
      <w:r>
        <w:rPr>
          <w:rFonts w:hint="eastAsia" w:ascii="宋体" w:hAnsi="宋体" w:eastAsia="宋体" w:cs="Times New Roman"/>
          <w:sz w:val="24"/>
          <w:szCs w:val="24"/>
        </w:rPr>
        <w:t xml:space="preserve"> 6 </w:t>
      </w:r>
      <w:r>
        <w:rPr>
          <w:rFonts w:ascii="宋体" w:hAnsi="宋体" w:eastAsia="宋体" w:cs="Times New Roman"/>
          <w:sz w:val="24"/>
          <w:szCs w:val="24"/>
        </w:rPr>
        <w:t>月</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26</w:t>
      </w:r>
      <w:bookmarkStart w:id="51" w:name="_GoBack"/>
      <w:bookmarkEnd w:id="51"/>
      <w:r>
        <w:rPr>
          <w:rFonts w:hint="eastAsia" w:ascii="宋体" w:hAnsi="宋体" w:eastAsia="宋体" w:cs="Times New Roman"/>
          <w:sz w:val="24"/>
          <w:szCs w:val="24"/>
        </w:rPr>
        <w:t xml:space="preserve"> </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成都郫都区安德街道彭温路</w:t>
      </w:r>
      <w:r>
        <w:rPr>
          <w:rFonts w:ascii="宋体" w:hAnsi="宋体" w:eastAsia="宋体" w:cs="Times New Roman"/>
          <w:sz w:val="24"/>
          <w:szCs w:val="24"/>
        </w:rPr>
        <w:t>399号四川铁道职业学院基建后勤办公区</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室</w:t>
      </w:r>
      <w:r>
        <w:rPr>
          <w:rFonts w:hint="eastAsia" w:ascii="宋体" w:hAnsi="宋体" w:eastAsia="宋体" w:cs="Times New Roman"/>
          <w:sz w:val="24"/>
          <w:szCs w:val="24"/>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人：贺老师、张老师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联系电话：028-68939875、68939922</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rPr>
            </w:pPr>
            <w:r>
              <w:rPr>
                <w:rFonts w:hint="eastAsia" w:ascii="宋体" w:hAnsi="宋体" w:eastAsia="宋体" w:cs="Times New Roman"/>
                <w:kern w:val="0"/>
                <w:sz w:val="22"/>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rPr>
                <w:lang w:val="zh-CN"/>
              </w:rPr>
            </w:pPr>
            <w:r>
              <w:rPr>
                <w:rFonts w:hint="eastAsia"/>
                <w:lang w:val="zh-CN"/>
              </w:rPr>
              <w:t>人民币</w:t>
            </w:r>
            <w:r>
              <w:rPr>
                <w:rFonts w:hint="eastAsia"/>
              </w:rPr>
              <w:t>16</w:t>
            </w:r>
            <w:r>
              <w:rPr>
                <w:rFonts w:hint="eastAsia"/>
                <w:lang w:val="zh-CN"/>
              </w:rPr>
              <w:t>万元</w:t>
            </w:r>
          </w:p>
          <w:p>
            <w:pPr>
              <w:pStyle w:val="44"/>
              <w:spacing w:line="360" w:lineRule="exact"/>
              <w:ind w:left="210" w:leftChars="100"/>
              <w:jc w:val="both"/>
              <w:rPr>
                <w:rFonts w:cstheme="minorBidi"/>
                <w:bCs/>
                <w:kern w:val="2"/>
                <w:sz w:val="21"/>
                <w:szCs w:val="21"/>
                <w:lang w:val="zh-CN"/>
              </w:rPr>
            </w:pPr>
            <w:r>
              <w:rPr>
                <w:rFonts w:hint="eastAsia"/>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3"/>
              <w:tabs>
                <w:tab w:val="left" w:pos="22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pPr>
            <w:r>
              <w:rPr>
                <w:rFonts w:hint="eastAsia"/>
                <w:lang w:val="zh-CN"/>
              </w:rPr>
              <w:t>人民币</w:t>
            </w:r>
            <w:r>
              <w:rPr>
                <w:rFonts w:hint="eastAsia"/>
              </w:rPr>
              <w:t>16</w:t>
            </w:r>
            <w:r>
              <w:rPr>
                <w:rFonts w:hint="eastAsia"/>
                <w:lang w:val="zh-CN"/>
              </w:rPr>
              <w:t>万元</w:t>
            </w:r>
          </w:p>
          <w:p>
            <w:pPr>
              <w:pStyle w:val="44"/>
              <w:spacing w:line="360" w:lineRule="exact"/>
              <w:ind w:left="210" w:leftChars="100"/>
              <w:jc w:val="both"/>
              <w:rPr>
                <w:rFonts w:cs="Times New Roman"/>
                <w:kern w:val="2"/>
                <w:lang w:val="zh-CN"/>
              </w:rPr>
            </w:pPr>
            <w:r>
              <w:rPr>
                <w:rFonts w:hint="eastAsia"/>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cs="Times New Roman"/>
                <w:sz w:val="22"/>
                <w:szCs w:val="22"/>
                <w:lang w:val="zh-CN"/>
              </w:rPr>
              <w:t>不正当竞争预防措施</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rPr>
            </w:pPr>
            <w:r>
              <w:rPr>
                <w:rFonts w:hint="eastAsia" w:cs="Times New Roman"/>
                <w:sz w:val="22"/>
                <w:szCs w:val="22"/>
              </w:rPr>
              <w:t>信用记录查询</w:t>
            </w:r>
          </w:p>
          <w:p>
            <w:pPr>
              <w:pStyle w:val="44"/>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（1）比选人通过</w:t>
            </w:r>
          </w:p>
          <w:p>
            <w:pPr>
              <w:pStyle w:val="44"/>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4"/>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4"/>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4"/>
              <w:spacing w:line="360" w:lineRule="exact"/>
              <w:ind w:left="210" w:leftChars="100"/>
              <w:jc w:val="both"/>
              <w:rPr>
                <w:rFonts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合同分包</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联合体</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5" w:name="_Toc217446035"/>
      <w:r>
        <w:rPr>
          <w:rFonts w:hint="eastAsia" w:ascii="宋体" w:hAnsi="宋体" w:eastAsia="宋体" w:cs="Times New Roman"/>
          <w:b/>
          <w:sz w:val="24"/>
          <w:szCs w:val="24"/>
        </w:rPr>
        <w:t>（二）</w:t>
      </w:r>
      <w:bookmarkEnd w:id="5"/>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6"/>
      <w:bookmarkEnd w:id="7"/>
      <w:r>
        <w:rPr>
          <w:rFonts w:hint="eastAsia" w:ascii="宋体" w:hAnsi="宋体" w:eastAsia="宋体" w:cs="Times New Roman"/>
          <w:b/>
          <w:sz w:val="24"/>
          <w:szCs w:val="24"/>
        </w:rPr>
        <w:t>和修改</w:t>
      </w:r>
      <w:bookmarkEnd w:id="8"/>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9" w:name="_Toc183682353"/>
      <w:bookmarkStart w:id="10" w:name="_Toc217446044"/>
      <w:bookmarkStart w:id="11"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9"/>
      <w:bookmarkEnd w:id="10"/>
      <w:bookmarkEnd w:id="11"/>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2" w:name="_Toc217446055"/>
      <w:bookmarkStart w:id="13" w:name="_Toc183682365"/>
      <w:bookmarkStart w:id="14"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5" w:name="_Toc101174151"/>
      <w:bookmarkStart w:id="16" w:name="_Toc209847069"/>
      <w:bookmarkStart w:id="17" w:name="_Toc101338364"/>
      <w:bookmarkStart w:id="18" w:name="_Toc101250646"/>
      <w:bookmarkStart w:id="19" w:name="_Toc430773927"/>
      <w:r>
        <w:rPr>
          <w:rFonts w:hint="eastAsia" w:ascii="宋体" w:hAnsi="宋体" w:eastAsia="宋体" w:cs="Times New Roman"/>
          <w:b/>
          <w:sz w:val="24"/>
          <w:szCs w:val="24"/>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sz w:val="36"/>
          <w:szCs w:val="36"/>
        </w:rPr>
      </w:pPr>
      <w:bookmarkStart w:id="20" w:name="_Toc28291"/>
      <w:r>
        <w:rPr>
          <w:rFonts w:ascii="宋体" w:hAnsi="宋体" w:eastAsia="宋体"/>
          <w:b/>
          <w:sz w:val="36"/>
          <w:szCs w:val="36"/>
        </w:rPr>
        <w:t>第</w:t>
      </w:r>
      <w:r>
        <w:rPr>
          <w:rFonts w:hint="eastAsia" w:ascii="宋体" w:hAnsi="宋体" w:eastAsia="宋体"/>
          <w:b/>
          <w:sz w:val="36"/>
          <w:szCs w:val="36"/>
        </w:rPr>
        <w:t>三</w:t>
      </w:r>
      <w:r>
        <w:rPr>
          <w:rFonts w:ascii="宋体" w:hAnsi="宋体" w:eastAsia="宋体"/>
          <w:b/>
          <w:sz w:val="36"/>
          <w:szCs w:val="36"/>
        </w:rPr>
        <w:t>章</w:t>
      </w:r>
      <w:r>
        <w:rPr>
          <w:rFonts w:hint="eastAsia" w:ascii="宋体" w:hAnsi="宋体" w:eastAsia="宋体"/>
          <w:b/>
          <w:sz w:val="36"/>
          <w:szCs w:val="36"/>
        </w:rPr>
        <w:t xml:space="preserve"> 资格条件要求以及应当提供的资格证明材料</w:t>
      </w:r>
      <w:bookmarkEnd w:id="20"/>
    </w:p>
    <w:p>
      <w:pPr>
        <w:widowControl/>
        <w:spacing w:line="360" w:lineRule="atLeast"/>
        <w:ind w:firstLine="470" w:firstLineChars="196"/>
        <w:rPr>
          <w:rFonts w:ascii="宋体" w:hAnsi="宋体" w:eastAsia="宋体"/>
          <w:sz w:val="24"/>
        </w:rPr>
      </w:pPr>
    </w:p>
    <w:tbl>
      <w:tblPr>
        <w:tblStyle w:val="25"/>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1351"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w:t>
            </w:r>
            <w:r>
              <w:rPr>
                <w:rFonts w:hint="eastAsia" w:ascii="宋体" w:hAnsi="宋体" w:eastAsia="宋体" w:cs="Times New Roman"/>
                <w:bCs/>
                <w:kern w:val="0"/>
                <w:szCs w:val="21"/>
                <w:lang w:eastAsia="zh-CN"/>
              </w:rPr>
              <w:t>章程</w:t>
            </w:r>
            <w:r>
              <w:rPr>
                <w:rFonts w:hint="eastAsia" w:ascii="宋体" w:hAnsi="宋体" w:eastAsia="宋体" w:cs="Times New Roman"/>
                <w:bCs/>
                <w:kern w:val="0"/>
                <w:szCs w:val="21"/>
              </w:rPr>
              <w:t>（复印件）；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1351" w:type="pct"/>
            <w:vAlign w:val="center"/>
          </w:tcPr>
          <w:p>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1351"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kern w:val="2"/>
          <w:sz w:val="36"/>
          <w:szCs w:val="36"/>
        </w:rPr>
      </w:pPr>
      <w:bookmarkStart w:id="21" w:name="_Toc23416"/>
      <w:bookmarkStart w:id="22" w:name="_Toc13420"/>
      <w:bookmarkStart w:id="23" w:name="_Toc22092"/>
      <w:bookmarkStart w:id="24" w:name="_Toc18798"/>
      <w:r>
        <w:rPr>
          <w:rFonts w:ascii="宋体" w:hAnsi="宋体" w:eastAsia="宋体"/>
          <w:bCs w:val="0"/>
          <w:kern w:val="2"/>
          <w:sz w:val="36"/>
          <w:szCs w:val="36"/>
        </w:rPr>
        <w:t xml:space="preserve">第四章 </w:t>
      </w:r>
      <w:bookmarkEnd w:id="21"/>
      <w:bookmarkEnd w:id="22"/>
      <w:r>
        <w:rPr>
          <w:rFonts w:hint="eastAsia" w:ascii="宋体" w:hAnsi="宋体" w:eastAsia="宋体"/>
          <w:bCs w:val="0"/>
          <w:kern w:val="2"/>
          <w:sz w:val="36"/>
          <w:szCs w:val="36"/>
        </w:rPr>
        <w:t>比选内容及要求</w:t>
      </w:r>
      <w:bookmarkEnd w:id="23"/>
      <w:bookmarkStart w:id="25"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为了落实公安部、网信办以及教育厅对高校应用系统安全等级保护要求，进一步增强系统安全防护能力，确保系统安全稳定运行，防止因系统安全事件引发安全事故依据《信息安全技术 网络安全等级保护基本要求》（GB/T 22239-2019）、《信息安全等级保护管理办法》（公通字[2007]43号）和《中华人民共和国网络安全法》等标准规范，四川铁道职业学校现拟招一家供应商提供等保测评服务。</w:t>
      </w:r>
    </w:p>
    <w:p>
      <w:pPr>
        <w:spacing w:line="500" w:lineRule="exact"/>
        <w:jc w:val="left"/>
        <w:rPr>
          <w:rFonts w:ascii="宋体" w:hAnsi="宋体" w:eastAsia="宋体" w:cs="仿宋"/>
          <w:b/>
          <w:bCs/>
          <w:sz w:val="28"/>
          <w:szCs w:val="24"/>
        </w:rPr>
      </w:pPr>
      <w:r>
        <w:rPr>
          <w:rFonts w:hint="eastAsia" w:ascii="宋体" w:hAnsi="宋体" w:eastAsia="宋体" w:cs="仿宋"/>
          <w:b/>
          <w:bCs/>
          <w:sz w:val="28"/>
          <w:szCs w:val="24"/>
        </w:rPr>
        <w:t>二、技术要求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1.测评要求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根据项目需求，为保障信息安全现场测评过程安全可控，明确测评人员职责分配、规范测评人员操作，保障测评结果有效，至少包括以下几个流程：</w:t>
      </w:r>
    </w:p>
    <w:tbl>
      <w:tblPr>
        <w:tblStyle w:val="24"/>
        <w:tblW w:w="88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39"/>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关键实施阶段</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确定测评范围</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明确本次被测评信息系统的范围，包括每个信息系统的范围、信息系统的边界等。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获得信息系统的信息</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通过调查或查阅资料的方式，了解被测评信息系统的构成，包括网络拓扑、业务应用、业务流程、设备信息、安全措施状况等。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确定具体的测评对象</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初步确定每个信息系统的被测评对象，包括整体对象，如机房、办公环境、网络等，也包括具体对象，如边界设备、网关设备、服务器设备、工作站、应用系统等。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确定测评工作的方法</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根据信息系统安全等级情况、系统规模大小等，明确本次测评的方法。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制定测评工作计划</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制定测评工作计划或方案，说明测评范围、测评对象、工作方法、人员组成、角色职责、时间计划等。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实施等级保护测评</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实施测评，包括人工检查、工具扫描等方式。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项目总结</w:t>
            </w:r>
          </w:p>
        </w:tc>
        <w:tc>
          <w:tcPr>
            <w:tcW w:w="6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对测评结果进行总结、汇报</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2.测评内容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按照网络安全等级保护测评依据开展测评工作（包括不限于以下项目）：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（1）安全物理环境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安全物理环境检查主要是了解信息系统的物理安全保障情况，涉及对象为机房。在内容上，安全物理环境层面测评实施过程涉及的工作单元，具体如下表：</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表1 安全物理环境测评内容</w:t>
      </w:r>
    </w:p>
    <w:tbl>
      <w:tblPr>
        <w:tblStyle w:val="24"/>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231"/>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2231"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848"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23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物理位置的选择</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检查机房，测评机房物理场所在位置上是否具有防震、防风和防雨等多方面的安全防范能力。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23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物理访问控制</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检查机房出入口等过程，测评信息系统在物理访问控制方面的安全防范能力。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23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防盗窃和防破坏</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检查机房内的主要设备、介质和防盗报警设施等过程，测评信息系统是否采取必要的措施预防设备、介质等丢失和被破坏。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23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防雷击</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检查机房设计/验收文档，测评信息系统是否采取相应的措施预防雷击。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223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防火</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检查机房防火方面的安全管理制度，检查机房防火设备等过程，测评信息系统是否采取必要的措施防止火灾的发生。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2231"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防水和防潮</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检查机房及其除潮设备等过程，测评信息系统是否采取必要措施来防止水灾和机房潮湿。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223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防静电</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检查机房等过程，测评信息系统是否采取必要措施防止静电的产生。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2231"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温湿度控制</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检查机房的温湿度自动调节系统，测评信息系统是否采取必要措施对机房内的温湿度进行控制。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w:t>
            </w:r>
          </w:p>
        </w:tc>
        <w:tc>
          <w:tcPr>
            <w:tcW w:w="223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电力供应</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检查机房供电线路、设备等过程，测评是否具备为信息系统提供一定电力供应的能力。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223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电磁防护</w:t>
            </w:r>
          </w:p>
        </w:tc>
        <w:tc>
          <w:tcPr>
            <w:tcW w:w="484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检查主要设备等过程，测评信息系统是否具备一定的电磁防护能力。</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（2）安全通信网络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安全通信网络检查主要是了解系统的网络架构和通信传输等，涉及对象为防火墙、核心路由器、核心交换机等设备和网络架构。在内容上，安全通信网络层面测评过程涉及的工作单元，具体如下表：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表2 安全通信网络测评内容</w:t>
      </w:r>
    </w:p>
    <w:tbl>
      <w:tblPr>
        <w:tblStyle w:val="24"/>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50"/>
        <w:gridCol w:w="4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51"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2250"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717"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1"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p>
        </w:tc>
        <w:tc>
          <w:tcPr>
            <w:tcW w:w="2250"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网络架构</w:t>
            </w:r>
          </w:p>
        </w:tc>
        <w:tc>
          <w:tcPr>
            <w:tcW w:w="4717"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检查核心设备的CPU和内存使用率，整个网络带宽是否满足现状，VLAN划分是否合理，网络架构是否做到设备冗余、链路。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1"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w:t>
            </w:r>
          </w:p>
        </w:tc>
        <w:tc>
          <w:tcPr>
            <w:tcW w:w="2250"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通信传输</w:t>
            </w:r>
          </w:p>
        </w:tc>
        <w:tc>
          <w:tcPr>
            <w:tcW w:w="4717"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检查数据在传输过程中的的完整性和保密性措施。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w:t>
            </w:r>
          </w:p>
        </w:tc>
        <w:tc>
          <w:tcPr>
            <w:tcW w:w="2250"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可信计算</w:t>
            </w:r>
          </w:p>
        </w:tc>
        <w:tc>
          <w:tcPr>
            <w:tcW w:w="4717"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检查设备是否进行可信验证。</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（3）安全区域边界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安全区域边界检查主要是了解系统在网络边界的防护措施，涉及对象为防火墙、入侵检测、安全审计等安全设备。在内容上，安全区域边界层面测评实施过程涉及的工作单元，具体如下表：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表3 安全区域边界测评内容</w:t>
      </w:r>
    </w:p>
    <w:tbl>
      <w:tblPr>
        <w:tblStyle w:val="24"/>
        <w:tblW w:w="7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84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7"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536"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边界防护</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检查网络边界是否有访问控制设备，访问控制策略是否合理，是否关闭了闲置端口等。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访问控制</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检查网络中的访问控制策略是否合理、有效。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入侵防范</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检查网络中是否采用了入侵防范措施，验证该措施是否有效。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恶意代码和垃圾邮件防范</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检查网络中是否有恶意代码和垃圾邮件防范措施。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安全审计</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检查网络中是否有综合安全审计措施。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可信验证</w:t>
            </w:r>
          </w:p>
        </w:tc>
        <w:tc>
          <w:tcPr>
            <w:tcW w:w="4536"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检查设备是否进行可信验证。</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（4）安全计算环境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计算环境检查主要是了解系统的运行环境是否采取了相关安全措施，涉及对象为网络设备、安全设备、操作系统、数据库、中间件等。在内容上，安全计算环境层面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表4应用系统安全测评内容</w:t>
      </w:r>
    </w:p>
    <w:tbl>
      <w:tblPr>
        <w:tblStyle w:val="24"/>
        <w:tblW w:w="7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843"/>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7"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471"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身份鉴别</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检查所有设备的登录用户是否有身份鉴别措施，是否有复杂度、唯一性等检查。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访问控制</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检查用户的权限分配情况，默认用户和默认口令使用情况等。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安全审计</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检查是否开启安全审计功能，是否能审计到每个用户，审计记录是否有保护措施。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入侵防范</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检查设备在运行过程中的入侵防范措施，如关闭不需要的端口和服务、最小化安装、部署入侵防范产品等。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恶意代码防范</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检查设备的恶意代码防范情况。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可信验证</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检查设备是否进行可信验证。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数据完整性</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检查系统数据的传输完整性和存储完整性措施。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数据保密性</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检查系统数据的传输保密性和存储保密性措施。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数据备份恢复</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检查系统的安全备份情况，如重要信息的备份、硬件和线路的冗余等。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剩余信息保护</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检查系统的剩余信息保护情况，如将用户鉴别信息以及文件、目录和数据库记录等资源所在的存储空间再分配时的处理情况。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11</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个人信息保护</w:t>
            </w:r>
          </w:p>
        </w:tc>
        <w:tc>
          <w:tcPr>
            <w:tcW w:w="447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检查系统对个人信息的采集和使用情况。</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（5）安全管理中心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安全管理中心检查主要是了解系统在管理、审计等集中管理的情况，涉及对象为综合管理类设备、综合审计类设备等。在内容上，安全管理中心实施过程涉及的工作单元，具体如下表：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表5安全管理中心测评内容</w:t>
      </w:r>
    </w:p>
    <w:tbl>
      <w:tblPr>
        <w:tblStyle w:val="24"/>
        <w:tblW w:w="7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43"/>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5"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459"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系统管理</w:t>
            </w:r>
          </w:p>
        </w:tc>
        <w:tc>
          <w:tcPr>
            <w:tcW w:w="445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检查是否对系统管理员进行统一的身份鉴别，操作审计等。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审计管理</w:t>
            </w:r>
          </w:p>
        </w:tc>
        <w:tc>
          <w:tcPr>
            <w:tcW w:w="445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检查是否对审计管理员进行统一的身份鉴别，操作审计等。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安全管理</w:t>
            </w:r>
          </w:p>
        </w:tc>
        <w:tc>
          <w:tcPr>
            <w:tcW w:w="445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检查是否对安全管理员进行统一的身份鉴别，操作审计等。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集中管控</w:t>
            </w:r>
          </w:p>
        </w:tc>
        <w:tc>
          <w:tcPr>
            <w:tcW w:w="445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检查是否划分独立的安全管理区域，是否对网络中运行的设备进行状态监测、日志审计、安全审计等，是否对补丁、恶意代代码进行统一管理。</w:t>
            </w: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（6）安全管理制度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管理制度测评是为了了解评测安全管理制度的制定、发布、评审和修订等情况，主要涉及安全主管人员、安全管理人员、各类其它人员、各类管理制度、各类操作规程文件等对象。在内容上，安全管理制度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表6安全管理制度测评内容</w:t>
      </w:r>
    </w:p>
    <w:tbl>
      <w:tblPr>
        <w:tblStyle w:val="24"/>
        <w:tblW w:w="7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843"/>
        <w:gridCol w:w="4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94"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489"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安全策略</w:t>
            </w:r>
          </w:p>
        </w:tc>
        <w:tc>
          <w:tcPr>
            <w:tcW w:w="448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核查网络安全工作的总体方针和安全策略文件是否明确机构安全工作的总体目 标、范围、原则和各类安全策略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管理制度</w:t>
            </w:r>
          </w:p>
        </w:tc>
        <w:tc>
          <w:tcPr>
            <w:tcW w:w="448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检查有关管理制度文档和重要操作规程等过程，测评信息系统管理制度在内容覆盖上是否全面、完善。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制定和发布</w:t>
            </w:r>
          </w:p>
        </w:tc>
        <w:tc>
          <w:tcPr>
            <w:tcW w:w="448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检查有关制度制定要求文档等过程，测评信息系统管理制度的制定和发布过程是否遵循一定的流程。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评审和修订</w:t>
            </w:r>
          </w:p>
        </w:tc>
        <w:tc>
          <w:tcPr>
            <w:tcW w:w="4489"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检查管理制度评审记录等过程，测评信息系统管理制度定期评审和修订情况。</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（7）安全管理机构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管理机构测评是为了了解评测安全管理机构的组成情况和机构工作组织情况，主要涉及安全主管人员、安全管理人员、相关的文件资料和工作记录等对象。在内容上，安全管理机构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表7安全管理机构测评内容</w:t>
      </w:r>
    </w:p>
    <w:tbl>
      <w:tblPr>
        <w:tblStyle w:val="24"/>
        <w:tblW w:w="7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43"/>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8"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513"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岗位设置</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检查部门/岗位职责文件，测评信息系统安全主管部门设置情况以及各岗位设置和岗位职责情况。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人员配备</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检查人员名单等文档，测评信息系统各个岗位人员配备情况。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授权和审批</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检查相关文档，测评信息系统对关键活动的授权和审批情况。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沟通和合作</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检查相关文档，测评信息系统内部部门间、与外部单位间的沟通与合作情况。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审核和检查</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检查记录文档等过程，测评信息系统安全工作的审核和检查情况。</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（8）安全管理人员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安全管理人员测评是为了了解单位人员安全方面的情况，主要涉及安全主管人员、人事管理人员、相关管理制度、相关工作记录等对象。在内容上，安全管理人员测评实施过程涉及的工作单元，具体如下表：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表8安全管理人员测评内容</w:t>
      </w:r>
    </w:p>
    <w:tbl>
      <w:tblPr>
        <w:tblStyle w:val="24"/>
        <w:tblW w:w="7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43"/>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8"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513"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人员录用</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检查人员录用文档等过程，测评信息系统录用人员时是否对人员提出要求以及是否对其进行各种审查和考核。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人员离岗</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检查人员离岗安全处理记录等过程，测评信息系统人员离岗时是否按照一定的手续办理。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安全意识教育和培训</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检查培训计划和执行记录等文档，测评是否对人员进行安全方面的教育和培训。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外部人员访问管理</w:t>
            </w:r>
          </w:p>
        </w:tc>
        <w:tc>
          <w:tcPr>
            <w:tcW w:w="451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检查有关文档等过程，测评对第三方人员访问（物理、逻辑）系统是否采取必要控制措施。</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（9）安全建设管理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建设管理测评是为了了解评测系统建设管理过程中的安全控制情况，主要涉及安全主管人员、系统建设负责人、各类管理制度、操作规程文件、执行过程记录等对象。在内容上，安全建设管理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表9安全建设管理测评内容</w:t>
      </w:r>
    </w:p>
    <w:tbl>
      <w:tblPr>
        <w:tblStyle w:val="24"/>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1"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43"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4534"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定级和备案</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检查系统定级相关文档等过程，测评是否按照一定要求确定系统的安全等级。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安全方案设计</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检查系统安全建设方案等文档，测评系统整体的安全规划设计是否按照一定流程进行。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产品采购和使用</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测评是否按照一定的要求进行系统的产品采购。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自行软件开发</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检查相关软件开发文档等，测评自行开发的软件是否采取必要的措施保证开发过程的安全性。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外包软件开发</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检查相关文档，测评外包开发的软件是否采取必要的措施保证开发过程的安全性和日后的维护工作能够正常开展。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1843"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工程实施</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检查相关文档，测评系统建设的实施过程是否采取必要的措施使其在机构可控的范围内进行。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测试验收</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检查测试验收等相关文档，测评系统运行前是否对其进行测试验收工作。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系统交付</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检查系统交付清单等过程，测评是否采取必要的措施对系统交付过程进行有效控制。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w:t>
            </w:r>
          </w:p>
        </w:tc>
        <w:tc>
          <w:tcPr>
            <w:tcW w:w="1843"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等级测评</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检查系统之前等级测评的情况，以及之前测评机构的资质等。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1843"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服务供应商选择</w:t>
            </w:r>
          </w:p>
        </w:tc>
        <w:tc>
          <w:tcPr>
            <w:tcW w:w="4534"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测评是否选择符合国家有关规定的安全服务单位进行相关的安全服务工作。</w:t>
            </w: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（10）安全运维管理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运维管理测评是为了了解系统运维管理过程中的安全控制情况，主要涉及安全主管人员、安全管理人员、各类运维人员、各类管理制度、操作规程文件、执行过程记录等对象。在内容上，安全运维管理测评实施过程涉及的工作单元，具体如下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表10安全运维管理测评内容</w:t>
      </w:r>
    </w:p>
    <w:tbl>
      <w:tblPr>
        <w:tblStyle w:val="24"/>
        <w:tblW w:w="7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21"/>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0"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1821" w:type="dxa"/>
            <w:shd w:val="clear" w:color="000000" w:fill="FFFFFF"/>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工作单元名称</w:t>
            </w:r>
          </w:p>
        </w:tc>
        <w:tc>
          <w:tcPr>
            <w:tcW w:w="5088" w:type="dxa"/>
            <w:shd w:val="clear" w:color="000000" w:fill="FFFFFF"/>
            <w:vAlign w:val="center"/>
          </w:tcPr>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环境管理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检查机房安全管理制度，机房和办公环境等过程，测评是否采取必要的措施对机房的出入控制以及办公环境的人员行为等方面进行安全管理。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资产管理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检查资产清单，检查系统、网络设备等过程，测评是否采取必要的措施对系统的资产进行分类标识管理。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介质管理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检查介质管理记录和各类介质等过程，测评是否采取必要的措施对介质存放环境、使用、维护和销毁等方面进行管理。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设备维护管理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检查设备使用管理文档和设备操作规程等过程，测评是否采取必要的措施确保设备在使用、维护和销毁等过程安全。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5</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漏洞和风险管理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检查系统对于漏洞和安全隐患风险的管理，是否有报告、记录等文档，是否定期开展安全测评等。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网络和系统安全管理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7</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恶意代码防范管理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检查恶意代码防范管理文档和恶意代码检测记录等过程，测评是否采取必要的措施对恶意代码进行有效管理，确保系统具有恶意代码防范能力。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182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配置管理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检查是否对基本配置信息进行记录和保存，基本配置信息改变后是否及时更新基本配置信息库等。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9</w:t>
            </w:r>
          </w:p>
        </w:tc>
        <w:tc>
          <w:tcPr>
            <w:tcW w:w="182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密码管理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测评是否能够确保信息系统中密码算法和密钥的使用符合国家密码管理规定。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182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变更管理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检查变更方案和变更管理制度等过程，测评是否采取必要的措施对系统发生的变更进行有效管理。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11</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备份与恢复管理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检查系统备份管理文档和记录等过程，测评是否采取必要的措施对重要业务信息，系统数据和系统软件进行备份，并确保必要时能够对这些数据有效地恢复。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12</w:t>
            </w:r>
          </w:p>
        </w:tc>
        <w:tc>
          <w:tcPr>
            <w:tcW w:w="1821"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资产管理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13</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应急预案管理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检查应急响应预案文档等过程，测评是否针对不同安全事件制定相应的应急预案，是否对应急预案展开培训、演练和审查等。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14</w:t>
            </w:r>
          </w:p>
        </w:tc>
        <w:tc>
          <w:tcPr>
            <w:tcW w:w="1821"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外包运维管理</w:t>
            </w:r>
          </w:p>
        </w:tc>
        <w:tc>
          <w:tcPr>
            <w:tcW w:w="5088" w:type="dxa"/>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检查外包运维服务情况，单位是否符合国家有关规定，协议是否明确约定外包运维的范围和工作内容等。</w:t>
            </w:r>
          </w:p>
        </w:tc>
      </w:tr>
    </w:tbl>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3.交付产物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包括但不仅限于以下资料：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★（1）信息系统安全等级测评报告（包含整改建议）</w:t>
      </w:r>
    </w:p>
    <w:p>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（2）公安机关要求的、其他未列入的相关资料</w:t>
      </w:r>
    </w:p>
    <w:p>
      <w:pPr>
        <w:spacing w:line="360" w:lineRule="auto"/>
        <w:ind w:firstLine="480" w:firstLineChars="200"/>
        <w:rPr>
          <w:rFonts w:ascii="宋体" w:hAnsi="宋体" w:eastAsia="宋体" w:cs="Times New Roman"/>
          <w:sz w:val="24"/>
          <w:szCs w:val="24"/>
        </w:rPr>
      </w:pPr>
    </w:p>
    <w:p>
      <w:pPr>
        <w:numPr>
          <w:ilvl w:val="0"/>
          <w:numId w:val="2"/>
        </w:numPr>
        <w:spacing w:line="500" w:lineRule="exact"/>
        <w:ind w:firstLine="562" w:firstLineChars="200"/>
        <w:jc w:val="left"/>
        <w:rPr>
          <w:rFonts w:ascii="宋体" w:hAnsi="宋体" w:eastAsia="宋体" w:cs="仿宋"/>
          <w:b/>
          <w:bCs/>
          <w:sz w:val="28"/>
          <w:szCs w:val="24"/>
        </w:rPr>
      </w:pPr>
      <w:r>
        <w:rPr>
          <w:rFonts w:hint="eastAsia" w:ascii="宋体" w:hAnsi="宋体" w:eastAsia="宋体" w:cs="仿宋"/>
          <w:b/>
          <w:bCs/>
          <w:sz w:val="28"/>
          <w:szCs w:val="24"/>
        </w:rPr>
        <w:t>服务要求（实质性要求）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（1）服务时间:合同签订之日起至取得中标供应商出具的官网和数据中心《网络系统安全等级保护测评报告》且提供《网络安全等级保护测评项目登记管理系统》中显示全面完成测评工作的截图佐证资料。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（2）服务地点: 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（3）自合同签订之日起，提供一年7*24小时等级保护和网络安全咨询服务。</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Times New Roman"/>
          <w:sz w:val="24"/>
          <w:szCs w:val="24"/>
        </w:rPr>
        <w:t>（4）</w:t>
      </w:r>
      <w:r>
        <w:rPr>
          <w:rFonts w:hint="eastAsia" w:ascii="宋体" w:hAnsi="宋体" w:eastAsia="宋体" w:cs="宋体"/>
          <w:sz w:val="24"/>
          <w:szCs w:val="24"/>
        </w:rPr>
        <w:t>付款方式：</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Times New Roman"/>
          <w:sz w:val="24"/>
          <w:szCs w:val="24"/>
        </w:rPr>
        <w:t>①</w:t>
      </w:r>
      <w:r>
        <w:rPr>
          <w:rFonts w:hint="eastAsia" w:ascii="宋体" w:hAnsi="宋体" w:eastAsia="宋体" w:cs="宋体"/>
          <w:sz w:val="24"/>
          <w:szCs w:val="24"/>
        </w:rPr>
        <w:t>采取两次付款执行。甲方收到乙方开具的合法合规的有效增值税发票等票据凭证资料后10个工作日内，支付70%作为项目实施预付款。项目实施完毕经</w:t>
      </w:r>
      <w:r>
        <w:rPr>
          <w:rFonts w:hint="eastAsia" w:ascii="宋体" w:hAnsi="宋体" w:eastAsia="宋体" w:cs="宋体"/>
          <w:sz w:val="24"/>
          <w:szCs w:val="24"/>
          <w:lang w:eastAsia="zh-Hans"/>
        </w:rPr>
        <w:t>甲乙</w:t>
      </w:r>
      <w:r>
        <w:rPr>
          <w:rFonts w:hint="eastAsia" w:ascii="宋体" w:hAnsi="宋体" w:eastAsia="宋体" w:cs="宋体"/>
          <w:sz w:val="24"/>
          <w:szCs w:val="24"/>
        </w:rPr>
        <w:t>双方最终验收合格，且收到乙方开具的</w:t>
      </w:r>
      <w:r>
        <w:rPr>
          <w:rFonts w:hint="eastAsia" w:ascii="宋体" w:hAnsi="宋体" w:eastAsia="宋体" w:cs="宋体"/>
          <w:sz w:val="24"/>
          <w:szCs w:val="24"/>
          <w:lang w:eastAsia="zh-Hans"/>
        </w:rPr>
        <w:t>合法有效完整</w:t>
      </w:r>
      <w:r>
        <w:rPr>
          <w:rFonts w:hint="eastAsia" w:ascii="宋体" w:hAnsi="宋体" w:eastAsia="宋体" w:cs="宋体"/>
          <w:sz w:val="24"/>
          <w:szCs w:val="24"/>
        </w:rPr>
        <w:t>合格的项目尾款增值税发票后10个工作日内，支付余款30%。</w:t>
      </w:r>
    </w:p>
    <w:p>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Times New Roman"/>
          <w:sz w:val="24"/>
          <w:szCs w:val="24"/>
        </w:rPr>
        <w:t>②</w:t>
      </w:r>
      <w:r>
        <w:rPr>
          <w:rFonts w:hint="eastAsia" w:ascii="宋体" w:hAnsi="宋体" w:eastAsia="宋体" w:cs="宋体"/>
          <w:sz w:val="24"/>
          <w:szCs w:val="24"/>
        </w:rPr>
        <w:t>乙方须向甲方出具合法有效完整的完税增值税发票及凭证资料进行支付结算。若乙方未提供前述发票或凭证资料，或提供的发票不合法合规，凭证资料不完整等，甲方有权不予支付合同价款，并不视为甲方违约。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）验收内容：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完整有效的测评目标的等级测评报告、信息系统安全整改建议报告，公安机关通过相关的等级保护备案审查。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验收标准：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①等级测评报告通过公安机关审核。若不能达到审核标准，须指导学校进行安全整改，并重新完成测评，直至通过审核。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②信息系统安全整改建议报告在符合学校实际情况的条件下，详细完整，可实际操作。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③《网络安全等级保护测评项目登记管理系统》中显示全面完成测评工作的截图佐证资料。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④存在国家强制规定或行业标准的遵照相关规定执行。</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br w:type="page"/>
      </w:r>
    </w:p>
    <w:p>
      <w:pPr>
        <w:pStyle w:val="2"/>
        <w:spacing w:before="0" w:after="0" w:line="400" w:lineRule="exact"/>
        <w:ind w:firstLine="2530" w:firstLineChars="700"/>
        <w:rPr>
          <w:rFonts w:ascii="宋体" w:hAnsi="宋体" w:eastAsia="宋体"/>
          <w:sz w:val="36"/>
          <w:szCs w:val="36"/>
        </w:rPr>
      </w:pPr>
      <w:r>
        <w:rPr>
          <w:rFonts w:hint="eastAsia" w:ascii="宋体" w:hAnsi="宋体" w:eastAsia="宋体"/>
          <w:sz w:val="36"/>
          <w:szCs w:val="36"/>
        </w:rPr>
        <w:t>第五章 比选评审办法</w:t>
      </w:r>
      <w:bookmarkEnd w:id="25"/>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6" w:name="_Toc217446098"/>
      <w:r>
        <w:rPr>
          <w:rFonts w:hint="eastAsia" w:ascii="宋体" w:hAnsi="宋体" w:eastAsia="宋体"/>
          <w:sz w:val="24"/>
          <w:szCs w:val="24"/>
        </w:rPr>
        <w:t>。</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6"/>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sz w:val="36"/>
          <w:szCs w:val="36"/>
        </w:rPr>
      </w:pP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三、比选评审办法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四、评分办法说明</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详细评分标准如下表：</w:t>
      </w:r>
    </w:p>
    <w:tbl>
      <w:tblPr>
        <w:tblStyle w:val="2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4964"/>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080" w:type="dxa"/>
            <w:vAlign w:val="center"/>
          </w:tcPr>
          <w:p>
            <w:pPr>
              <w:spacing w:line="360" w:lineRule="auto"/>
              <w:rPr>
                <w:rFonts w:ascii="宋体" w:hAnsi="宋体" w:eastAsia="宋体"/>
                <w:sz w:val="24"/>
                <w:szCs w:val="24"/>
              </w:rPr>
            </w:pPr>
            <w:r>
              <w:rPr>
                <w:rFonts w:hint="eastAsia" w:ascii="宋体" w:hAnsi="宋体" w:eastAsia="宋体"/>
                <w:sz w:val="24"/>
                <w:szCs w:val="24"/>
              </w:rPr>
              <w:t>评分因素及权重</w:t>
            </w:r>
          </w:p>
        </w:tc>
        <w:tc>
          <w:tcPr>
            <w:tcW w:w="108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分值</w:t>
            </w:r>
          </w:p>
        </w:tc>
        <w:tc>
          <w:tcPr>
            <w:tcW w:w="4964" w:type="dxa"/>
            <w:vAlign w:val="center"/>
          </w:tcPr>
          <w:p>
            <w:pPr>
              <w:spacing w:line="360" w:lineRule="auto"/>
              <w:ind w:firstLine="470" w:firstLineChars="196"/>
              <w:jc w:val="center"/>
              <w:rPr>
                <w:rFonts w:ascii="宋体" w:hAnsi="宋体" w:eastAsia="宋体"/>
                <w:sz w:val="24"/>
                <w:szCs w:val="24"/>
              </w:rPr>
            </w:pPr>
            <w:r>
              <w:rPr>
                <w:rFonts w:hint="eastAsia" w:ascii="宋体" w:hAnsi="宋体" w:eastAsia="宋体"/>
                <w:sz w:val="24"/>
                <w:szCs w:val="24"/>
              </w:rPr>
              <w:t>评分标准</w:t>
            </w:r>
          </w:p>
        </w:tc>
        <w:tc>
          <w:tcPr>
            <w:tcW w:w="1036" w:type="dxa"/>
            <w:vAlign w:val="center"/>
          </w:tcPr>
          <w:p>
            <w:pPr>
              <w:spacing w:line="360" w:lineRule="auto"/>
              <w:rPr>
                <w:rFonts w:ascii="宋体" w:hAnsi="宋体" w:eastAsia="宋体"/>
                <w:sz w:val="24"/>
                <w:szCs w:val="24"/>
              </w:rPr>
            </w:pPr>
            <w:r>
              <w:rPr>
                <w:rFonts w:hint="eastAsia" w:ascii="宋体" w:hAnsi="宋体" w:eastAsia="宋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80"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1</w:t>
            </w:r>
          </w:p>
        </w:tc>
        <w:tc>
          <w:tcPr>
            <w:tcW w:w="1080" w:type="dxa"/>
            <w:vAlign w:val="center"/>
          </w:tcPr>
          <w:p>
            <w:pPr>
              <w:spacing w:line="360" w:lineRule="auto"/>
              <w:rPr>
                <w:rFonts w:ascii="宋体" w:hAnsi="宋体" w:eastAsia="宋体"/>
                <w:sz w:val="24"/>
                <w:szCs w:val="24"/>
              </w:rPr>
            </w:pPr>
            <w:r>
              <w:rPr>
                <w:rFonts w:hint="eastAsia" w:ascii="宋体" w:hAnsi="宋体" w:eastAsia="宋体"/>
                <w:sz w:val="24"/>
                <w:szCs w:val="24"/>
              </w:rPr>
              <w:t>报价</w:t>
            </w:r>
          </w:p>
        </w:tc>
        <w:tc>
          <w:tcPr>
            <w:tcW w:w="1080" w:type="dxa"/>
            <w:vAlign w:val="center"/>
          </w:tcPr>
          <w:p>
            <w:pPr>
              <w:spacing w:line="360" w:lineRule="auto"/>
              <w:rPr>
                <w:rFonts w:ascii="宋体" w:hAnsi="宋体" w:eastAsia="宋体"/>
                <w:sz w:val="24"/>
                <w:szCs w:val="24"/>
              </w:rPr>
            </w:pPr>
            <w:r>
              <w:rPr>
                <w:rFonts w:hint="eastAsia" w:ascii="宋体" w:hAnsi="宋体" w:eastAsia="宋体"/>
                <w:sz w:val="24"/>
                <w:szCs w:val="24"/>
              </w:rPr>
              <w:t>10分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通过审查且投标报价最低的投标人的投标报价作为评标基准价；投标报价得分=(基准价／投标报价)×10%×100</w:t>
            </w:r>
          </w:p>
        </w:tc>
        <w:tc>
          <w:tcPr>
            <w:tcW w:w="1036" w:type="dxa"/>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0" w:type="dxa"/>
            <w:vMerge w:val="restart"/>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2</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测评</w:t>
            </w:r>
          </w:p>
          <w:p>
            <w:pPr>
              <w:spacing w:line="360" w:lineRule="auto"/>
              <w:rPr>
                <w:rFonts w:ascii="宋体" w:hAnsi="宋体" w:eastAsia="宋体"/>
                <w:sz w:val="24"/>
                <w:szCs w:val="24"/>
              </w:rPr>
            </w:pPr>
            <w:r>
              <w:rPr>
                <w:rFonts w:hint="eastAsia" w:ascii="宋体" w:hAnsi="宋体" w:eastAsia="宋体"/>
                <w:sz w:val="24"/>
                <w:szCs w:val="24"/>
              </w:rPr>
              <w:t>方案</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10分</w:t>
            </w:r>
          </w:p>
        </w:tc>
        <w:tc>
          <w:tcPr>
            <w:tcW w:w="4964" w:type="dxa"/>
            <w:vMerge w:val="restart"/>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供应商提供的测评方案中应包含以下内容：</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测评流程、测评方法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测评指标和配合需求内容</w:t>
            </w:r>
          </w:p>
          <w:p>
            <w:pPr>
              <w:spacing w:line="360" w:lineRule="auto"/>
              <w:ind w:firstLine="470" w:firstLineChars="196"/>
              <w:rPr>
                <w:rFonts w:ascii="宋体" w:hAnsi="宋体" w:eastAsia="宋体"/>
                <w:sz w:val="24"/>
                <w:szCs w:val="24"/>
              </w:rPr>
            </w:pPr>
            <w:r>
              <w:rPr>
                <w:rFonts w:hint="eastAsia" w:ascii="宋体" w:hAnsi="宋体" w:eastAsia="宋体"/>
                <w:sz w:val="24"/>
                <w:szCs w:val="24"/>
              </w:rPr>
              <w:t>物理环境安全</w:t>
            </w:r>
          </w:p>
          <w:p>
            <w:pPr>
              <w:spacing w:line="360" w:lineRule="auto"/>
              <w:ind w:firstLine="470" w:firstLineChars="196"/>
              <w:rPr>
                <w:rFonts w:ascii="宋体" w:hAnsi="宋体" w:eastAsia="宋体"/>
                <w:sz w:val="24"/>
                <w:szCs w:val="24"/>
              </w:rPr>
            </w:pPr>
            <w:r>
              <w:rPr>
                <w:rFonts w:hint="eastAsia" w:ascii="宋体" w:hAnsi="宋体" w:eastAsia="宋体"/>
                <w:sz w:val="24"/>
                <w:szCs w:val="24"/>
              </w:rPr>
              <w:t>网络通信安全</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安全区域边界</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安全计算环境</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安全管理中心</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安全管理制度</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安全管理机构</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安全管理人员</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提供以上完整内容的测评方案并满足项目需求的得10分，每有一项缺项扣1分，扣完为止。</w:t>
            </w:r>
          </w:p>
        </w:tc>
        <w:tc>
          <w:tcPr>
            <w:tcW w:w="1036" w:type="dxa"/>
            <w:vMerge w:val="restart"/>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6"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Merge w:val="continue"/>
            <w:vAlign w:val="center"/>
          </w:tcPr>
          <w:p>
            <w:pPr>
              <w:spacing w:line="360" w:lineRule="auto"/>
              <w:ind w:firstLine="470" w:firstLineChars="196"/>
              <w:rPr>
                <w:rFonts w:ascii="宋体" w:hAnsi="宋体" w:eastAsia="宋体"/>
                <w:sz w:val="24"/>
                <w:szCs w:val="24"/>
              </w:rPr>
            </w:pP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restart"/>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3</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投标人机构技术团队情况</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27分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拟派技术负责人1名具有:</w:t>
            </w:r>
          </w:p>
        </w:tc>
        <w:tc>
          <w:tcPr>
            <w:tcW w:w="1036"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人员不重复计算</w:t>
            </w:r>
          </w:p>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（1）信息安全等级评测师（高级）证书或网络安全等级评测师（高级）证书得3分；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（2）工业互联网安全评估工程师（CIISA）证书（高级）得3分；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（3）注册渗透测试工程师（CISP-PTE）证书得3分；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（4）网络安全管理CCSC（I级）得3分；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（5）具有注册数据安全治理工程师得3分；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eastAsia="zh-Hans"/>
              </w:rPr>
              <w:t>计算机技术与软件专业资格信息安全工程师（软考类）</w:t>
            </w:r>
            <w:r>
              <w:rPr>
                <w:rFonts w:hint="eastAsia" w:ascii="宋体" w:hAnsi="宋体" w:eastAsia="宋体"/>
                <w:sz w:val="24"/>
                <w:szCs w:val="24"/>
              </w:rPr>
              <w:t>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（7）IT服务工程师证书得3分；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（8）国家重要信息系统保护人员证书(CIIP-A)得3分；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（9）注册信息安全专业人员（CISP）得3分。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注：提供以上证书复印件并加盖投标人公章，每一个得3分，最多得27分。未提供不得分。</w:t>
            </w:r>
          </w:p>
        </w:tc>
        <w:tc>
          <w:tcPr>
            <w:tcW w:w="1036" w:type="dxa"/>
            <w:vMerge w:val="continue"/>
            <w:noWrap/>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24分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拟派项目经理1名具有：</w:t>
            </w:r>
          </w:p>
        </w:tc>
        <w:tc>
          <w:tcPr>
            <w:tcW w:w="1036"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人员不重复计算</w:t>
            </w:r>
          </w:p>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（1）信息安全等级评测师（高级）证书或网络安全等级评测师（高级）证书得3分；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（2）网络安全管理CCSC（I级）得3分；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（3）网络安全服务工程师得3分；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（4）IT服务工程师证书得3分；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（5）信息系统咨询师（高级）得3分；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（6）具有国家信息安全水平证书得3分;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spacing w:line="360" w:lineRule="auto"/>
              <w:ind w:firstLine="470" w:firstLineChars="196"/>
              <w:rPr>
                <w:rFonts w:ascii="宋体" w:hAnsi="宋体" w:eastAsia="宋体"/>
                <w:sz w:val="24"/>
                <w:szCs w:val="24"/>
              </w:rPr>
            </w:pPr>
          </w:p>
        </w:tc>
        <w:tc>
          <w:tcPr>
            <w:tcW w:w="1080" w:type="dxa"/>
            <w:vMerge w:val="continue"/>
            <w:shd w:val="clear" w:color="auto" w:fill="auto"/>
            <w:vAlign w:val="center"/>
          </w:tcPr>
          <w:p>
            <w:pPr>
              <w:spacing w:line="360" w:lineRule="auto"/>
              <w:ind w:firstLine="470" w:firstLineChars="196"/>
              <w:rPr>
                <w:rFonts w:ascii="宋体" w:hAnsi="宋体" w:eastAsia="宋体"/>
                <w:sz w:val="24"/>
                <w:szCs w:val="24"/>
              </w:rPr>
            </w:pPr>
          </w:p>
        </w:tc>
        <w:tc>
          <w:tcPr>
            <w:tcW w:w="1080" w:type="dxa"/>
            <w:vMerge w:val="continue"/>
            <w:shd w:val="clear" w:color="auto" w:fill="auto"/>
            <w:vAlign w:val="center"/>
          </w:tcPr>
          <w:p>
            <w:pPr>
              <w:spacing w:line="360" w:lineRule="auto"/>
              <w:ind w:firstLine="470" w:firstLineChars="196"/>
              <w:rPr>
                <w:rFonts w:ascii="宋体" w:hAnsi="宋体" w:eastAsia="宋体"/>
                <w:sz w:val="24"/>
                <w:szCs w:val="24"/>
              </w:rPr>
            </w:pPr>
          </w:p>
        </w:tc>
        <w:tc>
          <w:tcPr>
            <w:tcW w:w="4964" w:type="dxa"/>
            <w:shd w:val="clear" w:color="auto" w:fill="FFFFFF"/>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（7）网络工程师（高级）得3分；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（8）国家重要信息系统保护人员证书(CIIP-A)得3分。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注：提供以上证书复印件并加盖投标人公章，每一个得3分，最多得24分，未提供不得分。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10分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拟派测试团队人员在具有信息安全等级测评师证书的同时具有以下证书：</w:t>
            </w:r>
          </w:p>
        </w:tc>
        <w:tc>
          <w:tcPr>
            <w:tcW w:w="1036"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人员不重复计算</w:t>
            </w:r>
          </w:p>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（1）网络安全技术（I级）得2分；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（2）工业互联网安全评估工程师（CIISA）证书得2分；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（3）信息安全保障人员（CISAW）得2分；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（4）注册渗透测试专家（CISP-PTS)证书得2分；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（5）商用密码应用安全性评估人员合格证书得2分。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注：提供以上证书复印件并加盖投标人公章，全部具有得10分，不能重复计分，缺一个扣2分，扣完为止。</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4</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投标人</w:t>
            </w:r>
          </w:p>
          <w:p>
            <w:pPr>
              <w:spacing w:line="360" w:lineRule="auto"/>
              <w:rPr>
                <w:rFonts w:ascii="宋体" w:hAnsi="宋体" w:eastAsia="宋体"/>
                <w:sz w:val="24"/>
                <w:szCs w:val="24"/>
              </w:rPr>
            </w:pPr>
            <w:r>
              <w:rPr>
                <w:rFonts w:hint="eastAsia" w:ascii="宋体" w:hAnsi="宋体" w:eastAsia="宋体"/>
                <w:sz w:val="24"/>
                <w:szCs w:val="24"/>
              </w:rPr>
              <w:t>业绩</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4分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投标人自2021年1月1日至递交投标文件截止之日，具有同类信息安全测评项目业绩的，每提供1个业绩得1分，最多得4分。</w:t>
            </w:r>
          </w:p>
        </w:tc>
        <w:tc>
          <w:tcPr>
            <w:tcW w:w="1036" w:type="dxa"/>
            <w:vMerge w:val="restart"/>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注：提供合同复印件或中标（成交）通知书复印件并加盖投标人公章，未提供不得分。（以合同签订时间或通知书发出为准）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80" w:type="dxa"/>
            <w:vMerge w:val="restart"/>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5</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投标人实力</w:t>
            </w:r>
          </w:p>
        </w:tc>
        <w:tc>
          <w:tcPr>
            <w:tcW w:w="1080" w:type="dxa"/>
            <w:vMerge w:val="restart"/>
            <w:vAlign w:val="center"/>
          </w:tcPr>
          <w:p>
            <w:pPr>
              <w:spacing w:line="360" w:lineRule="auto"/>
              <w:rPr>
                <w:rFonts w:ascii="宋体" w:hAnsi="宋体" w:eastAsia="宋体"/>
                <w:sz w:val="24"/>
                <w:szCs w:val="24"/>
              </w:rPr>
            </w:pPr>
            <w:r>
              <w:rPr>
                <w:rFonts w:hint="eastAsia" w:ascii="宋体" w:hAnsi="宋体" w:eastAsia="宋体"/>
                <w:sz w:val="24"/>
                <w:szCs w:val="24"/>
              </w:rPr>
              <w:t>15分</w:t>
            </w: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（1）投标人具有质量管理体系认证证书, 认证范围包括“等级保护测评测试评估服务”相关得3分；</w:t>
            </w:r>
          </w:p>
        </w:tc>
        <w:tc>
          <w:tcPr>
            <w:tcW w:w="1036" w:type="dxa"/>
            <w:vMerge w:val="restart"/>
            <w:vAlign w:val="center"/>
          </w:tcPr>
          <w:p>
            <w:pPr>
              <w:spacing w:line="360" w:lineRule="auto"/>
              <w:ind w:firstLine="470" w:firstLineChars="196"/>
              <w:rPr>
                <w:rFonts w:ascii="宋体" w:hAnsi="宋体" w:eastAsia="宋体"/>
                <w:sz w:val="24"/>
                <w:szCs w:val="24"/>
              </w:rPr>
            </w:pPr>
          </w:p>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（2）投标人具有信息技术服务管理体系证书, 认证范围包括“等级保护测评测试评估服务” 相关得3分；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（3）投标人具有信息安全管理体系证书，认证范围包括“等级保护测评测试评估服务” 相关得3分；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（4）投标人具有检验检测机构资质认定证书（CMA证书）得3分；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（5）投标人具有工业互联网安全评估评测机构资质证书得3分。</w:t>
            </w:r>
          </w:p>
        </w:tc>
        <w:tc>
          <w:tcPr>
            <w:tcW w:w="1036" w:type="dxa"/>
            <w:vMerge w:val="continue"/>
            <w:vAlign w:val="center"/>
          </w:tcPr>
          <w:p>
            <w:pPr>
              <w:spacing w:line="360"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1080" w:type="dxa"/>
            <w:vMerge w:val="continue"/>
            <w:vAlign w:val="center"/>
          </w:tcPr>
          <w:p>
            <w:pPr>
              <w:spacing w:line="360" w:lineRule="auto"/>
              <w:ind w:firstLine="470" w:firstLineChars="196"/>
              <w:rPr>
                <w:rFonts w:ascii="宋体" w:hAnsi="宋体" w:eastAsia="宋体"/>
                <w:sz w:val="24"/>
                <w:szCs w:val="24"/>
              </w:rPr>
            </w:pPr>
          </w:p>
        </w:tc>
        <w:tc>
          <w:tcPr>
            <w:tcW w:w="4964" w:type="dxa"/>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注：提供以上有效期内的证书复印件并加盖投标人公章。</w:t>
            </w:r>
          </w:p>
        </w:tc>
        <w:tc>
          <w:tcPr>
            <w:tcW w:w="1036" w:type="dxa"/>
            <w:vMerge w:val="continue"/>
            <w:vAlign w:val="center"/>
          </w:tcPr>
          <w:p>
            <w:pPr>
              <w:spacing w:line="360" w:lineRule="auto"/>
              <w:ind w:firstLine="470" w:firstLineChars="196"/>
              <w:rPr>
                <w:rFonts w:ascii="宋体" w:hAnsi="宋体" w:eastAsia="宋体"/>
                <w:sz w:val="24"/>
                <w:szCs w:val="24"/>
              </w:rPr>
            </w:pPr>
          </w:p>
        </w:tc>
      </w:tr>
    </w:tbl>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pPr>
        <w:rPr>
          <w:rFonts w:ascii="宋体" w:hAnsi="宋体" w:eastAsia="宋体"/>
          <w:sz w:val="24"/>
          <w:szCs w:val="24"/>
        </w:rPr>
      </w:pPr>
    </w:p>
    <w:p>
      <w:pPr>
        <w:pStyle w:val="9"/>
      </w:pPr>
    </w:p>
    <w:p>
      <w:pPr>
        <w:jc w:val="center"/>
        <w:rPr>
          <w:rFonts w:ascii="宋体" w:hAnsi="宋体" w:eastAsia="宋体" w:cs="仿宋"/>
          <w:sz w:val="24"/>
          <w:szCs w:val="24"/>
          <w:lang w:val="zh-TW" w:eastAsia="zh-TW"/>
        </w:rPr>
      </w:pPr>
    </w:p>
    <w:p>
      <w:pPr>
        <w:pStyle w:val="23"/>
        <w:spacing w:after="0"/>
        <w:rPr>
          <w:rFonts w:eastAsia="宋体" w:cs="仿宋"/>
          <w:szCs w:val="24"/>
          <w:lang w:val="zh-TW" w:eastAsia="zh-TW"/>
        </w:rPr>
      </w:pPr>
    </w:p>
    <w:p>
      <w:pPr>
        <w:pStyle w:val="23"/>
        <w:spacing w:after="0"/>
        <w:rPr>
          <w:rFonts w:eastAsia="宋体" w:cs="仿宋"/>
          <w:szCs w:val="24"/>
          <w:lang w:val="zh-TW" w:eastAsia="zh-TW"/>
        </w:rPr>
      </w:pPr>
    </w:p>
    <w:p>
      <w:pPr>
        <w:rPr>
          <w:rFonts w:ascii="宋体" w:hAnsi="宋体" w:eastAsia="宋体"/>
          <w:sz w:val="36"/>
          <w:szCs w:val="36"/>
        </w:rPr>
      </w:pPr>
      <w:r>
        <w:rPr>
          <w:rFonts w:hint="eastAsia" w:ascii="宋体" w:hAnsi="宋体" w:eastAsia="宋体"/>
          <w:sz w:val="36"/>
          <w:szCs w:val="36"/>
        </w:rPr>
        <w:br w:type="page"/>
      </w:r>
    </w:p>
    <w:p>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bookmarkEnd w:id="24"/>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9"/>
        <w:spacing w:after="0"/>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7" w:name="_Toc217446082"/>
      <w:r>
        <w:rPr>
          <w:rFonts w:hint="eastAsia" w:ascii="宋体" w:hAnsi="宋体" w:eastAsia="宋体"/>
          <w:sz w:val="32"/>
        </w:rPr>
        <w:br w:type="page"/>
      </w:r>
    </w:p>
    <w:bookmarkEnd w:id="27"/>
    <w:p>
      <w:pPr>
        <w:pStyle w:val="3"/>
        <w:numPr>
          <w:ilvl w:val="0"/>
          <w:numId w:val="5"/>
        </w:numPr>
        <w:spacing w:before="0" w:after="0" w:line="400" w:lineRule="exact"/>
        <w:ind w:firstLine="3534" w:firstLineChars="1100"/>
        <w:rPr>
          <w:rFonts w:ascii="宋体" w:hAnsi="宋体" w:eastAsia="宋体"/>
          <w:sz w:val="32"/>
        </w:rPr>
      </w:pPr>
      <w:r>
        <w:rPr>
          <w:rFonts w:hint="eastAsia" w:ascii="宋体" w:hAnsi="宋体" w:eastAsia="宋体"/>
          <w:sz w:val="32"/>
        </w:rPr>
        <w:t>申请函</w:t>
      </w:r>
    </w:p>
    <w:p>
      <w:pPr>
        <w:pStyle w:val="3"/>
        <w:spacing w:before="0" w:after="0" w:line="400" w:lineRule="exact"/>
        <w:rPr>
          <w:rFonts w:ascii="宋体" w:hAnsi="宋体" w:eastAsia="宋体"/>
          <w:sz w:val="24"/>
          <w:szCs w:val="24"/>
          <w:u w:val="single"/>
        </w:rPr>
      </w:pPr>
      <w:r>
        <w:rPr>
          <w:rFonts w:hint="eastAsia" w:ascii="宋体" w:hAnsi="宋体" w:eastAsia="宋体"/>
          <w:sz w:val="24"/>
          <w:szCs w:val="24"/>
          <w:u w:val="single"/>
        </w:rPr>
        <w:t>xxxxxxxxx</w:t>
      </w:r>
      <w:r>
        <w:rPr>
          <w:rFonts w:hint="eastAsia" w:ascii="宋体" w:hAnsi="宋体" w:eastAsia="宋体"/>
          <w:sz w:val="24"/>
          <w:szCs w:val="24"/>
        </w:rPr>
        <w:t>：</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3"/>
        <w:spacing w:line="560" w:lineRule="exact"/>
        <w:ind w:firstLine="480" w:firstLineChars="200"/>
        <w:rPr>
          <w:rFonts w:ascii="宋体" w:hAnsi="宋体" w:eastAsia="宋体"/>
          <w:bCs/>
          <w:sz w:val="24"/>
          <w:szCs w:val="24"/>
        </w:rPr>
      </w:pPr>
    </w:p>
    <w:p>
      <w:pPr>
        <w:pStyle w:val="13"/>
        <w:spacing w:line="56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jc w:val="left"/>
        <w:rPr>
          <w:rFonts w:ascii="宋体" w:hAnsi="宋体" w:eastAsia="宋体"/>
          <w:b/>
          <w:sz w:val="24"/>
        </w:rPr>
      </w:pPr>
    </w:p>
    <w:p>
      <w:pPr>
        <w:widowControl/>
        <w:spacing w:line="560" w:lineRule="exact"/>
        <w:jc w:val="left"/>
        <w:rPr>
          <w:rFonts w:ascii="宋体" w:hAnsi="宋体" w:eastAsia="宋体"/>
          <w:sz w:val="24"/>
        </w:rPr>
      </w:pPr>
      <w:r>
        <w:rPr>
          <w:rFonts w:hint="eastAsia" w:ascii="宋体" w:hAnsi="宋体" w:eastAsia="宋体"/>
          <w:sz w:val="24"/>
        </w:rPr>
        <w:t>四川铁道职业学院：</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特此声明。</w:t>
      </w:r>
    </w:p>
    <w:p>
      <w:pPr>
        <w:pStyle w:val="4"/>
        <w:spacing w:before="0" w:after="0" w:line="560" w:lineRule="exact"/>
      </w:pPr>
    </w:p>
    <w:p>
      <w:pPr>
        <w:widowControl/>
        <w:spacing w:line="560" w:lineRule="exac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560" w:lineRule="exac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540" w:lineRule="exact"/>
        <w:ind w:firstLine="480" w:firstLineChars="200"/>
        <w:rPr>
          <w:rFonts w:ascii="宋体" w:hAnsi="宋体" w:eastAsia="宋体"/>
          <w:sz w:val="24"/>
        </w:rPr>
      </w:pPr>
      <w:r>
        <w:rPr>
          <w:rFonts w:hint="eastAsia" w:ascii="宋体" w:hAnsi="宋体" w:eastAsia="宋体"/>
          <w:sz w:val="24"/>
        </w:rPr>
        <w:t>注：</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before="0" w:after="0" w:line="400" w:lineRule="exact"/>
        <w:jc w:val="center"/>
        <w:rPr>
          <w:rFonts w:ascii="宋体" w:hAnsi="宋体" w:eastAsia="宋体"/>
          <w:sz w:val="32"/>
        </w:rPr>
      </w:pPr>
      <w:r>
        <w:rPr>
          <w:rFonts w:hint="eastAsia" w:ascii="宋体" w:hAnsi="宋体" w:eastAsia="宋体"/>
          <w:sz w:val="32"/>
        </w:rPr>
        <w:t>三、承诺函</w:t>
      </w:r>
    </w:p>
    <w:p>
      <w:pPr>
        <w:widowControl/>
        <w:spacing w:line="530" w:lineRule="exact"/>
        <w:jc w:val="left"/>
        <w:rPr>
          <w:rFonts w:ascii="宋体" w:hAnsi="宋体" w:eastAsia="宋体"/>
          <w:sz w:val="24"/>
        </w:rPr>
      </w:pPr>
      <w:r>
        <w:rPr>
          <w:rFonts w:hint="eastAsia" w:ascii="宋体" w:hAnsi="宋体" w:eastAsia="宋体"/>
          <w:sz w:val="24"/>
        </w:rPr>
        <w:t>四川铁道职业学院：</w:t>
      </w:r>
    </w:p>
    <w:p>
      <w:pPr>
        <w:spacing w:line="530" w:lineRule="exact"/>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530" w:lineRule="exact"/>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530" w:lineRule="exact"/>
        <w:ind w:left="0" w:leftChars="0"/>
        <w:rPr>
          <w:rFonts w:ascii="宋体" w:hAnsi="宋体" w:eastAsia="宋体"/>
        </w:rPr>
      </w:pPr>
    </w:p>
    <w:p>
      <w:pPr>
        <w:widowControl/>
        <w:spacing w:line="530" w:lineRule="exact"/>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日    期：XXXX。</w:t>
      </w:r>
    </w:p>
    <w:p>
      <w:pPr>
        <w:spacing w:line="53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8" w:name="_Toc217446088"/>
      <w:r>
        <w:rPr>
          <w:rFonts w:hint="eastAsia" w:ascii="宋体" w:hAnsi="宋体" w:eastAsia="宋体"/>
          <w:sz w:val="32"/>
        </w:rPr>
        <w:t>四、申请人基本情况表</w:t>
      </w:r>
      <w:bookmarkEnd w:id="28"/>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560" w:lineRule="exact"/>
        <w:ind w:firstLine="420" w:firstLineChars="175"/>
        <w:jc w:val="left"/>
        <w:rPr>
          <w:rFonts w:ascii="宋体" w:hAnsi="宋体" w:eastAsia="宋体"/>
          <w:b/>
          <w:sz w:val="24"/>
        </w:rPr>
      </w:pPr>
      <w:r>
        <w:rPr>
          <w:rFonts w:hint="eastAsia" w:ascii="宋体" w:hAnsi="宋体" w:eastAsia="宋体"/>
          <w:sz w:val="24"/>
        </w:rPr>
        <w:t>日期：</w:t>
      </w:r>
    </w:p>
    <w:p>
      <w:pPr>
        <w:spacing w:line="56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9" w:name="_Toc217446089"/>
      <w:r>
        <w:rPr>
          <w:rFonts w:hint="eastAsia" w:ascii="宋体" w:hAnsi="宋体" w:eastAsia="宋体"/>
          <w:sz w:val="32"/>
        </w:rPr>
        <w:t>五、申请人类似项目业绩一览表</w:t>
      </w:r>
      <w:bookmarkEnd w:id="29"/>
    </w:p>
    <w:p>
      <w:pPr>
        <w:spacing w:line="400" w:lineRule="exact"/>
        <w:rPr>
          <w:rFonts w:ascii="宋体" w:hAnsi="宋体" w:eastAsia="宋体" w:cs="Arial"/>
          <w:sz w:val="24"/>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74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748"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38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spacing w:line="360" w:lineRule="auto"/>
              <w:jc w:val="center"/>
              <w:rPr>
                <w:rFonts w:ascii="宋体" w:hAnsi="宋体" w:eastAsia="宋体" w:cs="仿宋"/>
                <w:sz w:val="21"/>
                <w:szCs w:val="21"/>
              </w:rPr>
            </w:pPr>
          </w:p>
        </w:tc>
        <w:tc>
          <w:tcPr>
            <w:tcW w:w="2748" w:type="dxa"/>
            <w:vAlign w:val="center"/>
          </w:tcPr>
          <w:p>
            <w:pPr>
              <w:pStyle w:val="45"/>
              <w:spacing w:line="360" w:lineRule="auto"/>
              <w:jc w:val="center"/>
              <w:rPr>
                <w:rFonts w:ascii="宋体" w:hAnsi="宋体" w:eastAsia="宋体" w:cs="仿宋"/>
                <w:sz w:val="21"/>
                <w:szCs w:val="21"/>
              </w:rPr>
            </w:pPr>
          </w:p>
        </w:tc>
        <w:tc>
          <w:tcPr>
            <w:tcW w:w="238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法定代表人/单位负责人或授权代表（签字或加盖个人印章）：XXX</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日期：XXX年XXX月XXX日</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pPr>
        <w:spacing w:line="560" w:lineRule="exact"/>
        <w:rPr>
          <w:rFonts w:ascii="宋体" w:hAnsi="宋体" w:eastAsia="宋体" w:cs="仿宋"/>
          <w:sz w:val="24"/>
          <w:szCs w:val="24"/>
        </w:rPr>
      </w:pPr>
      <w:r>
        <w:rPr>
          <w:rFonts w:hint="eastAsia" w:ascii="宋体" w:hAnsi="宋体" w:eastAsia="宋体" w:cs="仿宋"/>
          <w:sz w:val="24"/>
          <w:szCs w:val="24"/>
        </w:rPr>
        <w:t>项目编号：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pPr>
        <w:pStyle w:val="23"/>
        <w:spacing w:after="0"/>
        <w:ind w:firstLine="0"/>
        <w:rPr>
          <w:rFonts w:eastAsia="宋体"/>
        </w:rPr>
      </w:pPr>
    </w:p>
    <w:p>
      <w:pPr>
        <w:pStyle w:val="23"/>
        <w:spacing w:after="0"/>
        <w:rPr>
          <w:rFonts w:eastAsia="宋体"/>
        </w:rPr>
      </w:pPr>
    </w:p>
    <w:p>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9"/>
        <w:spacing w:after="0" w:line="560" w:lineRule="exact"/>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before="0" w:after="0"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针对比选文件的要求，申请人认为需要提供的其它资料。例如特殊资格条件证明材料等等</w:t>
      </w:r>
    </w:p>
    <w:p>
      <w:pPr>
        <w:jc w:val="center"/>
        <w:rPr>
          <w:rFonts w:ascii="宋体" w:hAnsi="宋体" w:eastAsia="宋体"/>
          <w:bCs/>
          <w:sz w:val="28"/>
          <w:szCs w:val="28"/>
        </w:rPr>
      </w:pPr>
    </w:p>
    <w:p>
      <w:pPr>
        <w:jc w:val="center"/>
        <w:rPr>
          <w:rFonts w:ascii="宋体" w:hAnsi="宋体" w:eastAsia="宋体"/>
          <w:bCs/>
          <w:sz w:val="28"/>
          <w:szCs w:val="28"/>
        </w:rPr>
      </w:pPr>
      <w:r>
        <w:rPr>
          <w:rFonts w:hint="eastAsia" w:ascii="宋体" w:hAnsi="宋体" w:eastAsia="宋体"/>
          <w:bCs/>
          <w:sz w:val="28"/>
          <w:szCs w:val="28"/>
        </w:rPr>
        <w:t>（格式自拟）</w:t>
      </w:r>
    </w:p>
    <w:p>
      <w:pPr>
        <w:pStyle w:val="9"/>
        <w:spacing w:before="29" w:line="219" w:lineRule="auto"/>
        <w:jc w:val="center"/>
        <w:rPr>
          <w:b/>
          <w:bCs/>
          <w:spacing w:val="18"/>
          <w:sz w:val="32"/>
          <w:szCs w:val="32"/>
        </w:rPr>
      </w:pPr>
      <w:r>
        <w:rPr>
          <w:rFonts w:ascii="宋体" w:hAnsi="宋体" w:eastAsia="宋体"/>
        </w:rPr>
        <w:br w:type="page"/>
      </w:r>
      <w:r>
        <w:rPr>
          <w:b/>
          <w:bCs/>
          <w:spacing w:val="18"/>
          <w:sz w:val="32"/>
          <w:szCs w:val="32"/>
        </w:rPr>
        <w:t>采购合同</w:t>
      </w:r>
    </w:p>
    <w:p>
      <w:pPr>
        <w:pStyle w:val="9"/>
        <w:widowControl/>
        <w:kinsoku w:val="0"/>
        <w:autoSpaceDE w:val="0"/>
        <w:autoSpaceDN w:val="0"/>
        <w:adjustRightInd w:val="0"/>
        <w:snapToGrid w:val="0"/>
        <w:spacing w:line="360" w:lineRule="auto"/>
        <w:ind w:firstLine="634" w:firstLineChars="200"/>
        <w:jc w:val="left"/>
        <w:textAlignment w:val="baseline"/>
        <w:rPr>
          <w:rFonts w:ascii="宋体" w:hAnsi="宋体" w:eastAsia="宋体" w:cs="宋体"/>
          <w:b/>
          <w:bCs/>
          <w:spacing w:val="18"/>
          <w:sz w:val="28"/>
          <w:szCs w:val="28"/>
        </w:rPr>
      </w:pP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合同编号：</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签订地点：四川省成都市郫都区安德街道彭温路399号</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签订时间：2024年  月  日。</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采购人（甲方）：四川铁道职业学院</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供应商（乙方）:</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tbl>
      <w:tblPr>
        <w:tblStyle w:val="24"/>
        <w:tblW w:w="8695"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2430"/>
        <w:gridCol w:w="1507"/>
        <w:gridCol w:w="2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930"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服务名称</w:t>
            </w:r>
          </w:p>
        </w:tc>
        <w:tc>
          <w:tcPr>
            <w:tcW w:w="2430"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系统名称</w:t>
            </w:r>
          </w:p>
        </w:tc>
        <w:tc>
          <w:tcPr>
            <w:tcW w:w="1507"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保护等级</w:t>
            </w:r>
          </w:p>
        </w:tc>
        <w:tc>
          <w:tcPr>
            <w:tcW w:w="2828" w:type="dxa"/>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测评完成期限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93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2024年官网三级测评服务</w:t>
            </w:r>
          </w:p>
        </w:tc>
        <w:tc>
          <w:tcPr>
            <w:tcW w:w="243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学院官网</w:t>
            </w:r>
          </w:p>
        </w:tc>
        <w:tc>
          <w:tcPr>
            <w:tcW w:w="1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三级</w:t>
            </w:r>
          </w:p>
        </w:tc>
        <w:tc>
          <w:tcPr>
            <w:tcW w:w="2828" w:type="dxa"/>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90天（不含2024年暑期放假时间）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93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2024年数据中心三级测评服务</w:t>
            </w:r>
          </w:p>
        </w:tc>
        <w:tc>
          <w:tcPr>
            <w:tcW w:w="243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数据中心</w:t>
            </w:r>
          </w:p>
        </w:tc>
        <w:tc>
          <w:tcPr>
            <w:tcW w:w="1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三级</w:t>
            </w:r>
          </w:p>
        </w:tc>
        <w:tc>
          <w:tcPr>
            <w:tcW w:w="2828" w:type="dxa"/>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tc>
      </w:tr>
    </w:tbl>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备注：服务内容为：对甲方指定的信息系统进行等级保护测评并出具测评报告。具体服务内容包括：</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（1）信息系统测评，提供整改建议，并协助甲方进行安全建设整改，完成等级保护测评工作；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出具《网络安全等级保护测评报告》，等级测评报告通过公安机关备案且提供《网络安全等级保护测评项目登记管理系统》中显示全面完成测评工作的截图佐证资料。若不能达到备案要求，须指导学校进行安全整改，并重新完成测评，直至通过备案；</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（3）其他与本次等级保护测评相关的工作；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特别说明：本合同中四川铁道职业学院官网信息系统网络安全第三级等级测评属于复测评，成都市公安局不再重新发放《信息系统安全等级保护备案证明》证书。但服务和结果均应超过有关检测标准，通过相关行政验收、监测（如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二、合同总价</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合同总价为人民币大写：            ，即RMB￥       .00元；该合同总价已包括乙方承担的直接工程费、间接费、利润、其它摊入费（应由乙方承担的义务、责任和风险所发生的一切费用）及税费等全部费用。本合同执行期间合同总价不变，甲方无须另向乙方支付本条规定之外的其他任何费用。</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30" w:name="_Toc308164854"/>
      <w:bookmarkStart w:id="31" w:name="_Toc217446109"/>
      <w:bookmarkStart w:id="32" w:name="_Toc478038777"/>
      <w:r>
        <w:rPr>
          <w:rFonts w:hint="eastAsia" w:ascii="宋体" w:hAnsi="宋体" w:eastAsia="宋体" w:cs="宋体"/>
          <w:sz w:val="24"/>
          <w:szCs w:val="24"/>
        </w:rPr>
        <w:t>三、质量要求</w:t>
      </w:r>
      <w:bookmarkEnd w:id="30"/>
      <w:bookmarkEnd w:id="31"/>
      <w:bookmarkEnd w:id="32"/>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1、乙方在对甲方指定的信息系统进行测评中，必须严格依照《（GB/T 22239-2019）信息安全技术 网络安全等级保护基本要求》、《GB/T 28448-2019信息安全技术 信息系统安全等级保护测评要求》以及《GB/T 28449-2018信息安全技术 信息系统安全等级保护测评过程指南》等相关要求与标准执行。</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测评过程中，为保证测评结果真实有效，甲方应协助并向乙方提供有关信息系统测评所需的文档资料，这些文档资料包括但不限于：信息系统安全等级保护备案表、网络拓扑、IP地址、业务流程、规章制度、记录表格等。甲方应根据乙方提交的测评方案和工作计划，向乙方提供工作便利，包括但不限于：进入机房的授权、管理员的配合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对甲方指定的信息系统进行测评后，依照本节第1条所列的要求和指南，甲方的信息系统不能达到要求的，乙方必须在初次出具报告时指导甲方的整改工作，包括但不限于机房环境安全、网络环境安全、服务器安全、信息系统安全、制度安全和人员安全等方面，并</w:t>
      </w:r>
      <w:r>
        <w:rPr>
          <w:rFonts w:hint="eastAsia" w:ascii="宋体" w:hAnsi="宋体" w:eastAsia="宋体" w:cs="宋体"/>
          <w:sz w:val="24"/>
          <w:szCs w:val="24"/>
          <w:lang w:eastAsia="zh-Hans"/>
        </w:rPr>
        <w:t>提出具有</w:t>
      </w:r>
      <w:r>
        <w:rPr>
          <w:rFonts w:hint="eastAsia" w:ascii="宋体" w:hAnsi="宋体" w:eastAsia="宋体" w:cs="宋体"/>
          <w:sz w:val="24"/>
          <w:szCs w:val="24"/>
        </w:rPr>
        <w:t>可操作性的整改意见。</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4、乙方保证在为甲方提供服务过程中所使用的产品、资料、技术不涉及任何第三方利益、不侵犯任何第三方的知识产权和其他权益，且不存在任何与此相关的争议，若乙方违反上述保证给甲方</w:t>
      </w:r>
      <w:r>
        <w:rPr>
          <w:rFonts w:hint="eastAsia" w:ascii="宋体" w:hAnsi="宋体" w:eastAsia="宋体" w:cs="宋体"/>
          <w:sz w:val="24"/>
          <w:szCs w:val="24"/>
          <w:lang w:eastAsia="zh-Hans"/>
        </w:rPr>
        <w:t>和第三方</w:t>
      </w:r>
      <w:r>
        <w:rPr>
          <w:rFonts w:hint="eastAsia" w:ascii="宋体" w:hAnsi="宋体" w:eastAsia="宋体" w:cs="宋体"/>
          <w:sz w:val="24"/>
          <w:szCs w:val="24"/>
        </w:rPr>
        <w:t>造成损失，乙方应负责全额赔偿。</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33" w:name="_Toc478038778"/>
      <w:bookmarkStart w:id="34" w:name="_Toc217446110"/>
      <w:bookmarkStart w:id="35" w:name="_Toc308164855"/>
      <w:r>
        <w:rPr>
          <w:rFonts w:hint="eastAsia" w:ascii="宋体" w:hAnsi="宋体" w:eastAsia="宋体" w:cs="宋体"/>
          <w:sz w:val="24"/>
          <w:szCs w:val="24"/>
        </w:rPr>
        <w:t>四、交货及验收</w:t>
      </w:r>
      <w:bookmarkEnd w:id="33"/>
      <w:bookmarkEnd w:id="34"/>
      <w:bookmarkEnd w:id="35"/>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1、乙方提交最终测评报告期限为合同签订生效后的  90  日（不含2024年暑期放假时间）内，乙方应在合同签订生效之日起  90  天（不含2024年暑期放假时间）内到甲方指定测评地点（甲方指定地点为：四川铁道职业学院图书信息中心），实施等级保护测评工作，并向甲方递交最终测评报告并通过甲方验收(如由于采购人的原因造成合同延迟签订、项目延迟整改或验收的，时间</w:t>
      </w:r>
      <w:r>
        <w:rPr>
          <w:rFonts w:hint="eastAsia" w:ascii="宋体" w:hAnsi="宋体" w:eastAsia="宋体" w:cs="宋体"/>
          <w:sz w:val="24"/>
          <w:szCs w:val="24"/>
          <w:lang w:eastAsia="zh-Hans"/>
        </w:rPr>
        <w:t>相应</w:t>
      </w:r>
      <w:r>
        <w:rPr>
          <w:rFonts w:hint="eastAsia" w:ascii="宋体" w:hAnsi="宋体" w:eastAsia="宋体" w:cs="宋体"/>
          <w:sz w:val="24"/>
          <w:szCs w:val="24"/>
        </w:rPr>
        <w:t>顺延)。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2、验收由甲方组织，乙方配合进行：</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 乙方向甲方提交最终测评报告，甲方提交至公安机关备案通过后，甲方应及时组织验收。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测评报告应符合同等要求，不应存在虚假、遗漏、缺陷、错误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 验收时如发现所交付的测评报告不能用于公安等级测评报备及本合同规定之情形或存在虚假、遗漏、缺陷、错误者（前提条件为甲方按照乙方整改意见完成相应整改工作），甲方应做出详尽的现场记录，或由甲乙双方签署备忘录，乙方应无条件按甲方要求完善或重做并经甲方重新验收，直至达到要求，由此产生的时间延误与全部费用由乙方承担；</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 如质量验收合格，双方签署质量验收报告，签署质量验收报告之日为最终测评报告验收合格之日。</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3、乙方应将所提供测评报告的清单等资料一并交付给甲方；乙方不能完整交付测评报告及本款规定的单证和资料的，必须负责补齐，否则视为不能交货。</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如经乙方2次完善仍不能完成公安等级测评报备工作（前提条件为甲方按照乙方整改意见完成相应整改工作），甲方有权单方解除本合同，并视作乙方不能完成本服务而须支付违约金给甲方，违约金为本合同总价款的30%，若违约金不足以弥补甲方损失的，甲方还可依法要求乙方赔偿损失。</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36" w:name="_Toc308164856"/>
      <w:bookmarkStart w:id="37" w:name="_Toc478038779"/>
      <w:bookmarkStart w:id="38" w:name="_Toc217446111"/>
      <w:r>
        <w:rPr>
          <w:rFonts w:hint="eastAsia" w:ascii="宋体" w:hAnsi="宋体" w:eastAsia="宋体" w:cs="宋体"/>
          <w:sz w:val="24"/>
          <w:szCs w:val="24"/>
        </w:rPr>
        <w:t>五、付款方式</w:t>
      </w:r>
      <w:bookmarkEnd w:id="36"/>
      <w:bookmarkEnd w:id="37"/>
      <w:bookmarkEnd w:id="38"/>
      <w:bookmarkStart w:id="39" w:name="_Toc478038780"/>
      <w:bookmarkStart w:id="40" w:name="_Toc217446112"/>
      <w:bookmarkStart w:id="41" w:name="_Toc308164857"/>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1、合同采取两次付款执行。甲方收到乙方开具的合法合规的有效增值税发票等票据凭证资料后10个工作日内，支付70%（￥    .00元，人民币大写 ：        ）作为项目实施预付款。项目实施完毕经</w:t>
      </w:r>
      <w:r>
        <w:rPr>
          <w:rFonts w:hint="eastAsia" w:ascii="宋体" w:hAnsi="宋体" w:eastAsia="宋体" w:cs="宋体"/>
          <w:sz w:val="24"/>
          <w:szCs w:val="24"/>
          <w:lang w:eastAsia="zh-Hans"/>
        </w:rPr>
        <w:t>甲乙</w:t>
      </w:r>
      <w:r>
        <w:rPr>
          <w:rFonts w:hint="eastAsia" w:ascii="宋体" w:hAnsi="宋体" w:eastAsia="宋体" w:cs="宋体"/>
          <w:sz w:val="24"/>
          <w:szCs w:val="24"/>
        </w:rPr>
        <w:t>双方最终验收合格，且收到乙方开具的</w:t>
      </w:r>
      <w:r>
        <w:rPr>
          <w:rFonts w:hint="eastAsia" w:ascii="宋体" w:hAnsi="宋体" w:eastAsia="宋体" w:cs="宋体"/>
          <w:sz w:val="24"/>
          <w:szCs w:val="24"/>
          <w:lang w:eastAsia="zh-Hans"/>
        </w:rPr>
        <w:t>合法有效完整</w:t>
      </w:r>
      <w:r>
        <w:rPr>
          <w:rFonts w:hint="eastAsia" w:ascii="宋体" w:hAnsi="宋体" w:eastAsia="宋体" w:cs="宋体"/>
          <w:sz w:val="24"/>
          <w:szCs w:val="24"/>
        </w:rPr>
        <w:t>合格的项目尾款增值税发票后10个工作日内，支付余款30%（￥        元，人民币大写：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乙方须向甲方出具合法有效完整的完税增值税发票及凭证资料进行支付结算。若乙方未提供前述发票或凭证资料，或提供的发票不合法合规，凭证资料不完整等，甲方有权不予支付合同价款，并不视为甲方违约。</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六、售后服务</w:t>
      </w:r>
      <w:bookmarkEnd w:id="39"/>
      <w:bookmarkEnd w:id="40"/>
      <w:bookmarkEnd w:id="41"/>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1、质保期为最终测评报告验收合格并交付甲方后壹年，质保期内测评机构要对出具的测评报告负责，若出现有关等级保护测评报告的相关问题，乙方在接到甲方通知后4 小时内响应到场，免费提供相关咨询服务并协助甲方处理。如乙方未依约履行质保期义务，甲方有权终止合同并依约追究乙方的违约责任，违约金为本合同价款的30%，若违约金不足以弥补甲方损失的，甲方还可依法要求乙方赔偿损失，同时履约保证金不予退还乙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2、服务周期为壹年，自本合同生效之日起</w:t>
      </w:r>
      <w:r>
        <w:rPr>
          <w:rFonts w:hint="eastAsia" w:ascii="宋体" w:hAnsi="宋体" w:eastAsia="宋体" w:cs="宋体"/>
          <w:sz w:val="24"/>
          <w:szCs w:val="24"/>
          <w:lang w:eastAsia="zh-Hans"/>
        </w:rPr>
        <w:t>算</w:t>
      </w:r>
      <w:r>
        <w:rPr>
          <w:rFonts w:hint="eastAsia" w:ascii="宋体" w:hAnsi="宋体" w:eastAsia="宋体" w:cs="宋体"/>
          <w:sz w:val="24"/>
          <w:szCs w:val="24"/>
        </w:rPr>
        <w:t>。服务周期内，乙方向甲方提供7*24小时等级保护和网络安全咨询服务，结合甲方实际需要经授权委托提供“官网”系统和“数据中心”系统漏洞扫描服务并出具安全评估报告。服务</w:t>
      </w:r>
      <w:r>
        <w:rPr>
          <w:rFonts w:hint="eastAsia" w:ascii="宋体" w:hAnsi="宋体" w:eastAsia="宋体" w:cs="宋体"/>
          <w:sz w:val="24"/>
          <w:szCs w:val="24"/>
          <w:lang w:eastAsia="zh-Hans"/>
        </w:rPr>
        <w:t>期</w:t>
      </w:r>
      <w:r>
        <w:rPr>
          <w:rFonts w:hint="eastAsia" w:ascii="宋体" w:hAnsi="宋体" w:eastAsia="宋体" w:cs="宋体"/>
          <w:sz w:val="24"/>
          <w:szCs w:val="24"/>
        </w:rPr>
        <w:t>内，乙方未依约履行服务，且经沟通仍拒绝履行，甲方有权终止合同并依约追究乙方的违约责任，违约金为本合同价款的5%，若违约金不足以弥补甲方损失的，甲方还可依法要求乙方赔偿损失。同时履约保证金不予退还乙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3、乙方须指派专人（联系人：       电话：        ）负责与甲方联系售后服务事宜。乙方更换联系人需提前30日告知甲方，并经甲方同意，否则视为乙方违约，应承担本合同价款5%的违约金。</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4、乙方免费</w:t>
      </w:r>
      <w:r>
        <w:rPr>
          <w:rFonts w:hint="eastAsia" w:ascii="宋体" w:hAnsi="宋体" w:eastAsia="宋体" w:cs="宋体"/>
          <w:sz w:val="24"/>
          <w:szCs w:val="24"/>
          <w:lang w:eastAsia="zh-Hans"/>
        </w:rPr>
        <w:t>向甲方</w:t>
      </w:r>
      <w:r>
        <w:rPr>
          <w:rFonts w:hint="eastAsia" w:ascii="宋体" w:hAnsi="宋体" w:eastAsia="宋体" w:cs="宋体"/>
          <w:sz w:val="24"/>
          <w:szCs w:val="24"/>
        </w:rPr>
        <w:t>提供信息安全意识及教育培训。</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42" w:name="_Toc308164858"/>
      <w:bookmarkStart w:id="43" w:name="_Toc478038781"/>
      <w:bookmarkStart w:id="44" w:name="_Toc217446113"/>
      <w:r>
        <w:rPr>
          <w:rFonts w:hint="eastAsia" w:ascii="宋体" w:hAnsi="宋体" w:eastAsia="宋体" w:cs="宋体"/>
          <w:sz w:val="24"/>
          <w:szCs w:val="24"/>
        </w:rPr>
        <w:t>七、违约责任</w:t>
      </w:r>
      <w:bookmarkEnd w:id="42"/>
      <w:bookmarkEnd w:id="43"/>
      <w:bookmarkEnd w:id="44"/>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1、甲方违约责任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 甲方无正当理由拒收《网络安全等级保护测评报告》的，甲方应偿付合同总价百分之 5 的违约金；</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 甲方</w:t>
      </w:r>
      <w:r>
        <w:rPr>
          <w:rFonts w:hint="eastAsia" w:ascii="宋体" w:hAnsi="宋体" w:eastAsia="宋体" w:cs="宋体"/>
          <w:sz w:val="24"/>
          <w:szCs w:val="24"/>
          <w:lang w:eastAsia="zh-Hans"/>
        </w:rPr>
        <w:t>无正当理由</w:t>
      </w:r>
      <w:r>
        <w:rPr>
          <w:rFonts w:hint="eastAsia" w:ascii="宋体" w:hAnsi="宋体" w:eastAsia="宋体" w:cs="宋体"/>
          <w:sz w:val="24"/>
          <w:szCs w:val="24"/>
        </w:rPr>
        <w:t>逾期支付款项的，除应及时付足款项外，应向乙方偿付欠款总额万分之 5  /天的违约金；逾期付款超过 30 天的，乙方有权终止合同；</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 甲方偿付的违约金不足以弥补乙方损失的，还应按乙方损失尚未弥补的部分，支付赔偿金给乙方。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2、乙方违约责任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（1）乙方交付的《网络安全等级保护测评报告》不能满足公安等级测评报备标准要求，乙方应向甲方支付合同总价的百分之 5 的违约金，并须在合同规定的或甲方指定的交货时间内更换合格的测评报告给甲方，否则，视作乙方不能交付测评报告而违约，还应按本条本款下述第“（2）”项规定由乙方偿付违约金给甲方。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（2）非甲方整改时间过长而导致乙方不能交付《网络安全等级保护测评报告》或逾期交付《网络安全等级保护测评报告》而违约的，除应及时交付测评报告外，应向甲方偿付合同总价款万分之 5  /天的违约金；不能交付或逾期交付超过30天，甲方有权单方解除合同，乙方则应按合同总价的百分之 5 的款额向甲方偿付违约金，并须全额退还甲方已经付给乙方的款项及其利息。此次服务期限不包含整改时间，如因甲方整改时间过长导致工期延长双方可就服务时间另行协商，作为本合同的补充协议，如若甲方拒不整改，乙方可依据《网络安全等级保护测评机构管理办法》相关要求按照最后一次测评结果出具《网络安全等级保护测评报告》并将结果报公安机关。</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保证本合同测评报告的权利无瑕疵，包括测评报告知识产权等权利无瑕疵。如任何第三方向甲方主张权利或索赔，或经法院（或仲裁机构）裁决有权对上述测评报告主张权利或处罚，乙方除应向甲方返还已收款项本息外，还应另按合同总价的百分之 10  向甲方支付违约金并赔偿因此给甲方造成的一切损失。</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（4）乙方偿付的违约金不足以弥补甲方损失的，还应按甲方损失尚未弥补的部分，支付赔偿金给甲方，甲方损失包括但不限于为实现权利产生的诉讼费、律师费、差旅费等。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（5）如测评结果为 “差”（不能满足等级保护要求），在乙方的指导下，甲方未能完成整改工作，最终</w:t>
      </w:r>
      <w:r>
        <w:rPr>
          <w:rFonts w:hint="eastAsia" w:ascii="宋体" w:hAnsi="宋体" w:eastAsia="宋体" w:cs="宋体"/>
          <w:sz w:val="24"/>
          <w:szCs w:val="24"/>
          <w:lang w:eastAsia="zh-Hans"/>
        </w:rPr>
        <w:t>因甲方原因</w:t>
      </w:r>
      <w:r>
        <w:rPr>
          <w:rFonts w:hint="eastAsia" w:ascii="宋体" w:hAnsi="宋体" w:eastAsia="宋体" w:cs="宋体"/>
          <w:sz w:val="24"/>
          <w:szCs w:val="24"/>
        </w:rPr>
        <w:t>导致测评结论为“差”</w:t>
      </w:r>
      <w:r>
        <w:rPr>
          <w:rFonts w:hint="eastAsia" w:ascii="宋体" w:hAnsi="宋体" w:eastAsia="宋体" w:cs="宋体"/>
          <w:sz w:val="24"/>
          <w:szCs w:val="24"/>
          <w:lang w:eastAsia="zh-Hans"/>
        </w:rPr>
        <w:t>的</w:t>
      </w:r>
      <w:r>
        <w:rPr>
          <w:rFonts w:hint="eastAsia" w:ascii="宋体" w:hAnsi="宋体" w:eastAsia="宋体" w:cs="宋体"/>
          <w:sz w:val="24"/>
          <w:szCs w:val="24"/>
        </w:rPr>
        <w:t>，乙方不承担责任。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45" w:name="_Toc217446114"/>
      <w:bookmarkStart w:id="46" w:name="_Toc478038782"/>
      <w:bookmarkStart w:id="47" w:name="_Toc308164859"/>
      <w:r>
        <w:rPr>
          <w:rFonts w:hint="eastAsia" w:ascii="宋体" w:hAnsi="宋体" w:eastAsia="宋体" w:cs="宋体"/>
          <w:sz w:val="24"/>
          <w:szCs w:val="24"/>
        </w:rPr>
        <w:t>八、争议解决办法</w:t>
      </w:r>
      <w:bookmarkEnd w:id="45"/>
      <w:bookmarkEnd w:id="46"/>
      <w:bookmarkEnd w:id="47"/>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1、因测评报告的质量问题发生争议，由相关部门进行质量鉴定。测评报告符合标准的，鉴定费由甲方承担；测评报告不符合质量标准的，鉴定费由乙方承担。</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2、合同履行期间,若</w:t>
      </w:r>
      <w:r>
        <w:rPr>
          <w:rFonts w:hint="eastAsia" w:ascii="宋体" w:hAnsi="宋体" w:eastAsia="宋体" w:cs="宋体"/>
          <w:sz w:val="24"/>
          <w:szCs w:val="24"/>
          <w:lang w:eastAsia="zh-Hans"/>
        </w:rPr>
        <w:t>甲乙</w:t>
      </w:r>
      <w:r>
        <w:rPr>
          <w:rFonts w:hint="eastAsia" w:ascii="宋体" w:hAnsi="宋体" w:eastAsia="宋体" w:cs="宋体"/>
          <w:sz w:val="24"/>
          <w:szCs w:val="24"/>
        </w:rPr>
        <w:t>双方发生争议，可协商或由有关部门调解解决，协商或调解不成的，由合同履行地即甲方指定测评地点有管辖权的法院解决。败诉方应承担胜诉方为解决争议支付的包括律师费、诉讼费、保全费在内的一切费用。</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48" w:name="_Toc308164860"/>
      <w:bookmarkStart w:id="49" w:name="_Toc478038783"/>
      <w:r>
        <w:rPr>
          <w:rFonts w:hint="eastAsia" w:ascii="宋体" w:hAnsi="宋体" w:eastAsia="宋体" w:cs="宋体"/>
          <w:sz w:val="24"/>
          <w:szCs w:val="24"/>
        </w:rPr>
        <w:t>九、合同生效及其他</w:t>
      </w:r>
      <w:bookmarkEnd w:id="48"/>
      <w:bookmarkEnd w:id="49"/>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1、合同经双方法定代表人或授权委托代理人签字并加盖单位公章后生效，未尽事宜双方友好协商解决。</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2、合同执行中涉及采购资金和采购内容修改或补充的，须经相关部门审批，并签书面补充协议报监督管理部门备案，方可作为主合同不可分割的一部分。</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3、本合同一式玖份，每份具有同等法律效力，甲方执陆份，乙方执叁份。</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5、甲乙双方因履行本合同而相互发出或者提供的所有通知、文件、资料，均以甲乙双方页尾所列地址送达，一方如果迁址或者变更联系人、联系电话，应当书面通知对方。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十、合同附件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附件一：《保密协议书》</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附件二：《现场测评授权书》</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附件三：《 渗透测试授权书》</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附件一</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等保测评保密协议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甲、乙双方根据《中华人民共和国反不正当竞争法》和国家、地方有关规定，就双方商务、技术等私密保护达成如下协议：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一、保密内容和范围</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1.项目所涉及的商务洽谈内容（含服务价格）及技术交流获得提供的与本项目有关的技术资料、需求分析等内容。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2.与项目有关的设计方案、实施方案、测试记录、测试成果等内容。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3.乙方在合同期内因工作行为所接触和掌握到的甲方技术成果、设备配置、网络搭建、技术文档等相关技术资料以及甲方的全部非公开信息。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4.乙方在履行本合同过程中所创造产生的所有知识产权。</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5.《中华人民共和国保密法》和国家、地方有关规定的保守国家秘密的内容。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二、双方的权利和义务</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1.乙方必须严格遵守甲方的保密制度，严禁泄漏国家和商业秘密及技术秘密。</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2未经甲或乙方书面同意，任何一方不得将任何商业秘密及技术秘密向本项目无关的第三方泄露或复制传递，但向监管部门以及根据国家法律法规规定和政府有关部门要求提供除外。</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三、协议期限</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1.甲、乙双方签署的服务合同终止后，本协议项下的保密义务并不必然终止，直至相关保密信息非因承担保密义务的一方原因成为公开信息时止或双方按照下款规定终止保密协议。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2.服务合同终止后，双方若协商一致终止本保密协议，则本协议终止。单方面终止无效。</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本保密协议经甲乙双方加盖公章后生效。</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 四川铁道职业学院（盖章）</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日期：        年    月    日   </w:t>
      </w:r>
      <w:bookmarkStart w:id="50" w:name="_Hlt525572247"/>
      <w:bookmarkEnd w:id="50"/>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（盖章）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日期：        年    月    日</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240" w:firstLineChars="100"/>
        <w:jc w:val="left"/>
        <w:textAlignment w:val="baseline"/>
        <w:rPr>
          <w:rFonts w:ascii="宋体" w:hAnsi="宋体" w:eastAsia="宋体" w:cs="宋体"/>
          <w:sz w:val="24"/>
          <w:szCs w:val="24"/>
        </w:rPr>
      </w:pPr>
      <w:r>
        <w:rPr>
          <w:rFonts w:hint="eastAsia" w:ascii="宋体" w:hAnsi="宋体" w:eastAsia="宋体" w:cs="宋体"/>
          <w:sz w:val="24"/>
          <w:szCs w:val="24"/>
        </w:rPr>
        <w:t xml:space="preserve">附件二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现场测评授权书</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甲方：四川铁道职业学院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甲方委托乙方对合同中所涉及测评服务对象开展等级保护测评服务（包括安全基线检测和渗透测试等等级保护规范要求，以下简称“测评”）。</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为确保测评工作的顺利进行，并保证甲方信息系统所涉及的操作系统、应用系统及网络等的文档和数据的安全性，甲乙双方就下述事宜达成一致，特制定本协议。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一、甲方责任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1、甲方提供准确的信息系统信息（包括应用系统、网络系统、服务器系统、数据及备份系统、相关文档资料的基本信息），并安排专人全程配合测评工作，确保测评工作的顺利进行。</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2、甲方允许乙方在测评过程中对所获取的信息进行必要的记录。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3、甲方应在测评工作中配合乙方测评工作，以确保乙方所获取信息的真实性。</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4、甲方应在测评前对相关数据进行必要的备份。</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5、甲方在未经乙方允许的情况下，不得泄露乙方在测评工作中所使用的测试方法、技术及相关输出。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二、乙方责任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1、对于乙方在测评过程中所获取的任何信息，仅在编写报告时使用。</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2、在未经授权的情况下，乙方不得向任何单位提供测评过程中所获取的信息。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3、乙方在测评过程中应尽量避免影响甲方业务的正常运行，若出现意外操作而导致的异常则应立刻通知甲方并积极配合协商解决。</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4、在测试完成后，乙方承诺不对外泄露甲方测试信息。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5、测评现场工作可能会给被测系统带来如下风险：</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网络性能变慢；</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网络设备性能变慢或停机；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主机服务器性能变慢或停机；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应用系统性能变慢或下线；</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数据库数据可能会丢失。</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鉴于以上风险，被测单位应提前做好各项数据、设备和系统的备份工作和应急响应工作。并请被测单位派遣人员全程陪同进行机房和信息系统以及渗透测评相关工作。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 四川铁道职业学院（盖章）</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日期：        年    月    日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乙方：                 （盖章）</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日期：        年    月    日</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240" w:firstLineChars="100"/>
        <w:jc w:val="left"/>
        <w:textAlignment w:val="baseline"/>
        <w:rPr>
          <w:rFonts w:ascii="宋体" w:hAnsi="宋体" w:eastAsia="宋体" w:cs="宋体"/>
          <w:sz w:val="24"/>
          <w:szCs w:val="24"/>
        </w:rPr>
      </w:pPr>
      <w:r>
        <w:rPr>
          <w:rFonts w:hint="eastAsia" w:ascii="宋体" w:hAnsi="宋体" w:eastAsia="宋体" w:cs="宋体"/>
          <w:sz w:val="24"/>
          <w:szCs w:val="24"/>
        </w:rPr>
        <w:t xml:space="preserve">附件三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渗透测试授权书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甲方委托乙方对甲方的“官网”和“数据中心”系统进行_漏洞扫描、渗透测试_安全测试(以下简称“安全测试”)。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为确保测试的顺利进行,并保证甲方系统、应用及网络的稳定性和数据的安全性,甲乙双方就下述事宜达成一致,特制订本协议。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一、甲方责任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1.甲方提供准确的被测试系统的IP或域名信息。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2.甲方允许乙方在测试过程中对所获取的信息进行必要的记录。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3.若甲方要求乙方提供相关测试工具,则甲方不可使用乙方所提供工具从事危害网络安全的非法行为,否则引起的一切责任由甲方负责。</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4.甲方在未经乙方允许的情况下,不得泄露乙方在工作过程中所使用的工具及相关输出。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二、乙方责任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1.对于乙方在测试过程中所获取的任何信息,仅在编写报告时使用。</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2.在未经甲方授权的情况下,乙方不得向任何个人或单位提供测试过程中所获取的信息。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3.乙方在测试过程中应尽量避免影响甲方业务的正常运转,若出现意外操作而导致异常则应立刻通知甲方并积极配合协商解决。</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4.在测试完成后,乙方承诺不对外泄露甲方测试信息。</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5.乙方承诺在取消授权后,销毁所有涉及授权的机密资料。</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三、风险告知</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渗透测试现场工作可能会给被测系统带来如下风险：</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1.网络性能变慢。</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2.网络设备性能变慢或停机。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3.主机服务器性能变慢或停机。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4.应用系统性能变慢或下线。</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5.数据库数据可能会丢失。</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6.其他风险。</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鉴于以上风险，请被测单位做好各项数据、设备和系统的备份工作和应急响应工作。并请被测单位派遣人员全程陪同渗透测评工作。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甲方代表签字(签章)：</w:t>
      </w:r>
      <w:r>
        <w:rPr>
          <w:rFonts w:hint="eastAsia" w:ascii="宋体" w:hAnsi="宋体" w:eastAsia="宋体" w:cs="宋体"/>
          <w:sz w:val="24"/>
          <w:szCs w:val="24"/>
        </w:rPr>
        <w:tab/>
      </w:r>
      <w:r>
        <w:rPr>
          <w:rFonts w:hint="eastAsia" w:ascii="宋体" w:hAnsi="宋体" w:eastAsia="宋体" w:cs="宋体"/>
          <w:sz w:val="24"/>
          <w:szCs w:val="24"/>
        </w:rPr>
        <w:t xml:space="preserve">                    乙方代表签字(签章)：</w:t>
      </w:r>
    </w:p>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年     月     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年     月     日</w:t>
      </w:r>
    </w:p>
    <w:sectPr>
      <w:headerReference r:id="rId5" w:type="default"/>
      <w:foot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89B0C"/>
    <w:multiLevelType w:val="singleLevel"/>
    <w:tmpl w:val="10289B0C"/>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E74B9EE"/>
    <w:multiLevelType w:val="singleLevel"/>
    <w:tmpl w:val="5E74B9EE"/>
    <w:lvl w:ilvl="0" w:tentative="0">
      <w:start w:val="1"/>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11B0D"/>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B790C"/>
    <w:rsid w:val="004E4695"/>
    <w:rsid w:val="004F5587"/>
    <w:rsid w:val="00505F07"/>
    <w:rsid w:val="00522E34"/>
    <w:rsid w:val="00530ABF"/>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A7701"/>
    <w:rsid w:val="008E5B26"/>
    <w:rsid w:val="00914ECD"/>
    <w:rsid w:val="00924D4F"/>
    <w:rsid w:val="00957BCC"/>
    <w:rsid w:val="00985A74"/>
    <w:rsid w:val="009B7C41"/>
    <w:rsid w:val="009C3D5D"/>
    <w:rsid w:val="009D176B"/>
    <w:rsid w:val="009F51C1"/>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95ADD"/>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55BBD"/>
    <w:rsid w:val="00E85DDD"/>
    <w:rsid w:val="00EB0361"/>
    <w:rsid w:val="00EB5667"/>
    <w:rsid w:val="00EC7A71"/>
    <w:rsid w:val="00F34F45"/>
    <w:rsid w:val="00F53C48"/>
    <w:rsid w:val="00F934B2"/>
    <w:rsid w:val="00FD4A63"/>
    <w:rsid w:val="013303CB"/>
    <w:rsid w:val="018F2EE2"/>
    <w:rsid w:val="026F1557"/>
    <w:rsid w:val="02810D87"/>
    <w:rsid w:val="02BA54DB"/>
    <w:rsid w:val="02EA4873"/>
    <w:rsid w:val="031A72A8"/>
    <w:rsid w:val="039C0A0A"/>
    <w:rsid w:val="03BB6210"/>
    <w:rsid w:val="03CE5F43"/>
    <w:rsid w:val="04500237"/>
    <w:rsid w:val="049A5E25"/>
    <w:rsid w:val="05373674"/>
    <w:rsid w:val="05597A8E"/>
    <w:rsid w:val="0659586C"/>
    <w:rsid w:val="06641F4F"/>
    <w:rsid w:val="0781507A"/>
    <w:rsid w:val="07BD3408"/>
    <w:rsid w:val="07F55C66"/>
    <w:rsid w:val="087921F6"/>
    <w:rsid w:val="08E6728C"/>
    <w:rsid w:val="09104908"/>
    <w:rsid w:val="09500754"/>
    <w:rsid w:val="09526CCE"/>
    <w:rsid w:val="09657974"/>
    <w:rsid w:val="0A2543E3"/>
    <w:rsid w:val="0A751832"/>
    <w:rsid w:val="0ABF0394"/>
    <w:rsid w:val="0AE129A7"/>
    <w:rsid w:val="0B5331D2"/>
    <w:rsid w:val="0B8B296C"/>
    <w:rsid w:val="0BAB7BC8"/>
    <w:rsid w:val="0BD52F0E"/>
    <w:rsid w:val="0D156991"/>
    <w:rsid w:val="0D2E0060"/>
    <w:rsid w:val="0DBF68FD"/>
    <w:rsid w:val="0DC878B8"/>
    <w:rsid w:val="0E0B47ED"/>
    <w:rsid w:val="0E83792A"/>
    <w:rsid w:val="0E945864"/>
    <w:rsid w:val="0EC3241C"/>
    <w:rsid w:val="0F462A38"/>
    <w:rsid w:val="0FAB0EE6"/>
    <w:rsid w:val="1032785A"/>
    <w:rsid w:val="10F7015B"/>
    <w:rsid w:val="12152FD8"/>
    <w:rsid w:val="123553DF"/>
    <w:rsid w:val="12ED5CBA"/>
    <w:rsid w:val="1379754E"/>
    <w:rsid w:val="13ED5F7E"/>
    <w:rsid w:val="14F766D0"/>
    <w:rsid w:val="14F90946"/>
    <w:rsid w:val="15415E49"/>
    <w:rsid w:val="15A31BC4"/>
    <w:rsid w:val="15F86E50"/>
    <w:rsid w:val="161E1652"/>
    <w:rsid w:val="16421E79"/>
    <w:rsid w:val="16CF5E02"/>
    <w:rsid w:val="176127D3"/>
    <w:rsid w:val="17A0779F"/>
    <w:rsid w:val="18075128"/>
    <w:rsid w:val="184C3483"/>
    <w:rsid w:val="1A3D2A44"/>
    <w:rsid w:val="1A417B90"/>
    <w:rsid w:val="1B5508A0"/>
    <w:rsid w:val="1B9273FE"/>
    <w:rsid w:val="1BAB04C0"/>
    <w:rsid w:val="1BC161D3"/>
    <w:rsid w:val="1BF84678"/>
    <w:rsid w:val="1D75282A"/>
    <w:rsid w:val="1DCA10D2"/>
    <w:rsid w:val="1DEC587F"/>
    <w:rsid w:val="1E7352AD"/>
    <w:rsid w:val="1EAA20B1"/>
    <w:rsid w:val="1EF8161D"/>
    <w:rsid w:val="1F3F5AEF"/>
    <w:rsid w:val="1F550E6F"/>
    <w:rsid w:val="1F811C64"/>
    <w:rsid w:val="1FDF7646"/>
    <w:rsid w:val="20062169"/>
    <w:rsid w:val="20EA3839"/>
    <w:rsid w:val="20F546B7"/>
    <w:rsid w:val="21132D8F"/>
    <w:rsid w:val="21D50045"/>
    <w:rsid w:val="21E549B1"/>
    <w:rsid w:val="22022E9B"/>
    <w:rsid w:val="22B10AB2"/>
    <w:rsid w:val="22E30F16"/>
    <w:rsid w:val="23525A07"/>
    <w:rsid w:val="239857CE"/>
    <w:rsid w:val="23BC14BC"/>
    <w:rsid w:val="23C46957"/>
    <w:rsid w:val="244E0945"/>
    <w:rsid w:val="24A73F1B"/>
    <w:rsid w:val="251F61A7"/>
    <w:rsid w:val="255D7BA8"/>
    <w:rsid w:val="25B6018D"/>
    <w:rsid w:val="25F9028E"/>
    <w:rsid w:val="2624159B"/>
    <w:rsid w:val="27767BD4"/>
    <w:rsid w:val="27D61735"/>
    <w:rsid w:val="28A6098D"/>
    <w:rsid w:val="28FD65EE"/>
    <w:rsid w:val="2920604A"/>
    <w:rsid w:val="2936274F"/>
    <w:rsid w:val="29B669AE"/>
    <w:rsid w:val="29F424DA"/>
    <w:rsid w:val="2A6308E4"/>
    <w:rsid w:val="2C5A7AC4"/>
    <w:rsid w:val="2CB01DDA"/>
    <w:rsid w:val="2CE9283B"/>
    <w:rsid w:val="2D2F4913"/>
    <w:rsid w:val="2D83275B"/>
    <w:rsid w:val="2E47276C"/>
    <w:rsid w:val="2EB931C8"/>
    <w:rsid w:val="2F4800A8"/>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57C4F4F"/>
    <w:rsid w:val="35D703D8"/>
    <w:rsid w:val="35E514C7"/>
    <w:rsid w:val="36201D7F"/>
    <w:rsid w:val="362A2931"/>
    <w:rsid w:val="365E28A7"/>
    <w:rsid w:val="368816D2"/>
    <w:rsid w:val="36E26191"/>
    <w:rsid w:val="370B658B"/>
    <w:rsid w:val="374C0952"/>
    <w:rsid w:val="37BF5665"/>
    <w:rsid w:val="3838115B"/>
    <w:rsid w:val="38726196"/>
    <w:rsid w:val="387C7014"/>
    <w:rsid w:val="3891486E"/>
    <w:rsid w:val="38A87E0A"/>
    <w:rsid w:val="39602492"/>
    <w:rsid w:val="39775E88"/>
    <w:rsid w:val="397F6DBC"/>
    <w:rsid w:val="3A57182E"/>
    <w:rsid w:val="3A993EAE"/>
    <w:rsid w:val="3ACE22AB"/>
    <w:rsid w:val="3AE66A84"/>
    <w:rsid w:val="3B003F2D"/>
    <w:rsid w:val="3B245E6D"/>
    <w:rsid w:val="3C2A189E"/>
    <w:rsid w:val="3C44609B"/>
    <w:rsid w:val="3C495460"/>
    <w:rsid w:val="3C53327F"/>
    <w:rsid w:val="3CD76F0F"/>
    <w:rsid w:val="3D8B0579"/>
    <w:rsid w:val="3E456B72"/>
    <w:rsid w:val="3F9335C1"/>
    <w:rsid w:val="3FF4574B"/>
    <w:rsid w:val="4048214A"/>
    <w:rsid w:val="40D5722F"/>
    <w:rsid w:val="414334DE"/>
    <w:rsid w:val="423821FE"/>
    <w:rsid w:val="423C1CEE"/>
    <w:rsid w:val="423D5A66"/>
    <w:rsid w:val="425132C0"/>
    <w:rsid w:val="429531AD"/>
    <w:rsid w:val="42B0448A"/>
    <w:rsid w:val="42D31F27"/>
    <w:rsid w:val="43C81360"/>
    <w:rsid w:val="44290050"/>
    <w:rsid w:val="442C18EF"/>
    <w:rsid w:val="446A056C"/>
    <w:rsid w:val="44FE43E9"/>
    <w:rsid w:val="453C51A9"/>
    <w:rsid w:val="46333408"/>
    <w:rsid w:val="46720332"/>
    <w:rsid w:val="468C0D6B"/>
    <w:rsid w:val="477E30E1"/>
    <w:rsid w:val="47F6649C"/>
    <w:rsid w:val="488C5052"/>
    <w:rsid w:val="48D013E2"/>
    <w:rsid w:val="490D0C92"/>
    <w:rsid w:val="49A60395"/>
    <w:rsid w:val="49F0036A"/>
    <w:rsid w:val="4A170E76"/>
    <w:rsid w:val="4A39529F"/>
    <w:rsid w:val="4A4E6A63"/>
    <w:rsid w:val="4ADC2FC7"/>
    <w:rsid w:val="4B1120BD"/>
    <w:rsid w:val="4C30416B"/>
    <w:rsid w:val="4C453E95"/>
    <w:rsid w:val="4CF3569F"/>
    <w:rsid w:val="4D265A75"/>
    <w:rsid w:val="4DD46FDF"/>
    <w:rsid w:val="4DF74D1B"/>
    <w:rsid w:val="4EB701BF"/>
    <w:rsid w:val="4F6C1739"/>
    <w:rsid w:val="4FDC241B"/>
    <w:rsid w:val="503E6C32"/>
    <w:rsid w:val="50BB7907"/>
    <w:rsid w:val="5261632C"/>
    <w:rsid w:val="52630BD1"/>
    <w:rsid w:val="528374C6"/>
    <w:rsid w:val="530A434B"/>
    <w:rsid w:val="536C2ABD"/>
    <w:rsid w:val="53E57E13"/>
    <w:rsid w:val="54A61249"/>
    <w:rsid w:val="55067F3A"/>
    <w:rsid w:val="5519759C"/>
    <w:rsid w:val="551B5E9C"/>
    <w:rsid w:val="55204F89"/>
    <w:rsid w:val="55D32512"/>
    <w:rsid w:val="55FF2978"/>
    <w:rsid w:val="564231F4"/>
    <w:rsid w:val="57160F93"/>
    <w:rsid w:val="57F329F7"/>
    <w:rsid w:val="58022C3B"/>
    <w:rsid w:val="580C3AB9"/>
    <w:rsid w:val="58501BF8"/>
    <w:rsid w:val="595219A0"/>
    <w:rsid w:val="5994098E"/>
    <w:rsid w:val="59A33FA9"/>
    <w:rsid w:val="5A2D3540"/>
    <w:rsid w:val="5AC11CB2"/>
    <w:rsid w:val="5B8F47E5"/>
    <w:rsid w:val="5BD13050"/>
    <w:rsid w:val="5BD415B9"/>
    <w:rsid w:val="5C013209"/>
    <w:rsid w:val="5DD45079"/>
    <w:rsid w:val="5E124648"/>
    <w:rsid w:val="5E9345EC"/>
    <w:rsid w:val="5FFC5373"/>
    <w:rsid w:val="610772EA"/>
    <w:rsid w:val="610C4B2A"/>
    <w:rsid w:val="613B6943"/>
    <w:rsid w:val="616C1F97"/>
    <w:rsid w:val="618648DC"/>
    <w:rsid w:val="61B52ACC"/>
    <w:rsid w:val="61BA6334"/>
    <w:rsid w:val="62BB2364"/>
    <w:rsid w:val="62CA0DEA"/>
    <w:rsid w:val="6317781A"/>
    <w:rsid w:val="637C5F97"/>
    <w:rsid w:val="639037F0"/>
    <w:rsid w:val="63BF40D6"/>
    <w:rsid w:val="64542A70"/>
    <w:rsid w:val="646A2293"/>
    <w:rsid w:val="648B6D5C"/>
    <w:rsid w:val="64DD4218"/>
    <w:rsid w:val="6554084E"/>
    <w:rsid w:val="6572372B"/>
    <w:rsid w:val="65EC4433"/>
    <w:rsid w:val="66083B12"/>
    <w:rsid w:val="6639016F"/>
    <w:rsid w:val="66434B4A"/>
    <w:rsid w:val="668D2269"/>
    <w:rsid w:val="66F9345B"/>
    <w:rsid w:val="671E7365"/>
    <w:rsid w:val="67987117"/>
    <w:rsid w:val="679C66B0"/>
    <w:rsid w:val="68060AC4"/>
    <w:rsid w:val="68554B6D"/>
    <w:rsid w:val="68EA39A3"/>
    <w:rsid w:val="69020CEC"/>
    <w:rsid w:val="6A745C1A"/>
    <w:rsid w:val="6AD5702B"/>
    <w:rsid w:val="6B87372B"/>
    <w:rsid w:val="6C765DD8"/>
    <w:rsid w:val="6CB56076"/>
    <w:rsid w:val="6CB843E9"/>
    <w:rsid w:val="6CE556DE"/>
    <w:rsid w:val="6D231231"/>
    <w:rsid w:val="6D4713C4"/>
    <w:rsid w:val="6D837F22"/>
    <w:rsid w:val="6DF17581"/>
    <w:rsid w:val="6EE25A7E"/>
    <w:rsid w:val="6F671833"/>
    <w:rsid w:val="6FDF3411"/>
    <w:rsid w:val="708E13B0"/>
    <w:rsid w:val="70BD4D8A"/>
    <w:rsid w:val="7169267E"/>
    <w:rsid w:val="73BE1CB4"/>
    <w:rsid w:val="73CC2623"/>
    <w:rsid w:val="73D80876"/>
    <w:rsid w:val="73E27DCB"/>
    <w:rsid w:val="745F0A3D"/>
    <w:rsid w:val="75994A53"/>
    <w:rsid w:val="760F2C9B"/>
    <w:rsid w:val="765E4A8E"/>
    <w:rsid w:val="77A86F03"/>
    <w:rsid w:val="780E2ADE"/>
    <w:rsid w:val="78175E36"/>
    <w:rsid w:val="78327B50"/>
    <w:rsid w:val="79102FB2"/>
    <w:rsid w:val="79F521A7"/>
    <w:rsid w:val="7A17211E"/>
    <w:rsid w:val="7B001352"/>
    <w:rsid w:val="7B7F61CD"/>
    <w:rsid w:val="7CEC65E1"/>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6"/>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7"/>
    <w:autoRedefine/>
    <w:qFormat/>
    <w:uiPriority w:val="0"/>
    <w:pPr>
      <w:keepNext/>
      <w:keepLines/>
      <w:spacing w:before="120" w:after="120"/>
      <w:outlineLvl w:val="2"/>
    </w:pPr>
    <w:rPr>
      <w:rFonts w:eastAsia="仿宋"/>
      <w:b/>
      <w:sz w:val="30"/>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9"/>
    <w:autoRedefine/>
    <w:qFormat/>
    <w:uiPriority w:val="0"/>
    <w:pPr>
      <w:jc w:val="left"/>
    </w:pPr>
  </w:style>
  <w:style w:type="paragraph" w:styleId="8">
    <w:name w:val="Body Text 3"/>
    <w:basedOn w:val="1"/>
    <w:autoRedefine/>
    <w:qFormat/>
    <w:uiPriority w:val="0"/>
    <w:pPr>
      <w:spacing w:after="120"/>
    </w:pPr>
    <w:rPr>
      <w:sz w:val="16"/>
    </w:rPr>
  </w:style>
  <w:style w:type="paragraph" w:styleId="9">
    <w:name w:val="Body Text"/>
    <w:basedOn w:val="1"/>
    <w:link w:val="38"/>
    <w:autoRedefine/>
    <w:qFormat/>
    <w:uiPriority w:val="0"/>
    <w:pPr>
      <w:spacing w:after="120"/>
    </w:pPr>
  </w:style>
  <w:style w:type="paragraph" w:styleId="10">
    <w:name w:val="Body Text Indent"/>
    <w:basedOn w:val="1"/>
    <w:autoRedefine/>
    <w:qFormat/>
    <w:uiPriority w:val="99"/>
    <w:pPr>
      <w:tabs>
        <w:tab w:val="left" w:pos="1500"/>
      </w:tabs>
      <w:ind w:left="-180"/>
    </w:pPr>
    <w:rPr>
      <w:rFonts w:ascii="宋体" w:hAnsi="宋体"/>
      <w:sz w:val="24"/>
    </w:rPr>
  </w:style>
  <w:style w:type="paragraph" w:styleId="11">
    <w:name w:val="Plain Text"/>
    <w:basedOn w:val="1"/>
    <w:autoRedefine/>
    <w:qFormat/>
    <w:uiPriority w:val="0"/>
    <w:rPr>
      <w:rFonts w:hAnsi="Courier New"/>
    </w:rPr>
  </w:style>
  <w:style w:type="paragraph" w:styleId="12">
    <w:name w:val="Date"/>
    <w:basedOn w:val="1"/>
    <w:next w:val="1"/>
    <w:link w:val="53"/>
    <w:autoRedefine/>
    <w:semiHidden/>
    <w:unhideWhenUsed/>
    <w:qFormat/>
    <w:uiPriority w:val="99"/>
    <w:pPr>
      <w:ind w:left="100" w:leftChars="2500"/>
    </w:pPr>
  </w:style>
  <w:style w:type="paragraph" w:styleId="13">
    <w:name w:val="Body Text Indent 2"/>
    <w:basedOn w:val="1"/>
    <w:link w:val="40"/>
    <w:autoRedefine/>
    <w:qFormat/>
    <w:uiPriority w:val="0"/>
    <w:pPr>
      <w:ind w:firstLine="630"/>
    </w:pPr>
    <w:rPr>
      <w:sz w:val="32"/>
    </w:rPr>
  </w:style>
  <w:style w:type="paragraph" w:styleId="14">
    <w:name w:val="Balloon Text"/>
    <w:basedOn w:val="1"/>
    <w:link w:val="56"/>
    <w:autoRedefine/>
    <w:semiHidden/>
    <w:unhideWhenUsed/>
    <w:qFormat/>
    <w:uiPriority w:val="99"/>
    <w:rPr>
      <w:sz w:val="18"/>
      <w:szCs w:val="18"/>
    </w:rPr>
  </w:style>
  <w:style w:type="paragraph" w:styleId="15">
    <w:name w:val="footer"/>
    <w:basedOn w:val="1"/>
    <w:link w:val="34"/>
    <w:autoRedefine/>
    <w:unhideWhenUsed/>
    <w:qFormat/>
    <w:uiPriority w:val="0"/>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1"/>
    <w:autoRedefine/>
    <w:qFormat/>
    <w:uiPriority w:val="0"/>
    <w:rPr>
      <w:sz w:val="28"/>
    </w:rPr>
  </w:style>
  <w:style w:type="paragraph" w:styleId="19">
    <w:name w:val="Body Text Indent 3"/>
    <w:basedOn w:val="1"/>
    <w:autoRedefine/>
    <w:qFormat/>
    <w:uiPriority w:val="0"/>
    <w:pPr>
      <w:spacing w:after="156" w:afterLines="50" w:line="560" w:lineRule="exact"/>
      <w:ind w:firstLine="420"/>
    </w:pPr>
    <w:rPr>
      <w:sz w:val="32"/>
    </w:rPr>
  </w:style>
  <w:style w:type="paragraph" w:styleId="20">
    <w:name w:val="Body Text 2"/>
    <w:basedOn w:val="1"/>
    <w:autoRedefine/>
    <w:qFormat/>
    <w:uiPriority w:val="0"/>
    <w:pPr>
      <w:spacing w:line="480" w:lineRule="auto"/>
    </w:pPr>
    <w:rPr>
      <w:rFonts w:ascii="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7"/>
    <w:next w:val="7"/>
    <w:link w:val="54"/>
    <w:autoRedefine/>
    <w:semiHidden/>
    <w:unhideWhenUsed/>
    <w:qFormat/>
    <w:uiPriority w:val="99"/>
    <w:rPr>
      <w:b/>
      <w:bCs/>
    </w:rPr>
  </w:style>
  <w:style w:type="paragraph" w:styleId="23">
    <w:name w:val="Body Text First Indent"/>
    <w:basedOn w:val="9"/>
    <w:link w:val="42"/>
    <w:autoRedefine/>
    <w:qFormat/>
    <w:uiPriority w:val="0"/>
    <w:pPr>
      <w:spacing w:line="360" w:lineRule="auto"/>
      <w:ind w:firstLine="420"/>
    </w:pPr>
    <w:rPr>
      <w:rFonts w:ascii="宋体" w:hAnsi="宋体"/>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semiHidden/>
    <w:unhideWhenUsed/>
    <w:qFormat/>
    <w:uiPriority w:val="99"/>
    <w:rPr>
      <w:sz w:val="21"/>
      <w:szCs w:val="21"/>
    </w:rPr>
  </w:style>
  <w:style w:type="paragraph" w:styleId="29">
    <w:name w:val="No Spacing"/>
    <w:basedOn w:val="1"/>
    <w:next w:val="1"/>
    <w:autoRedefine/>
    <w:unhideWhenUsed/>
    <w:qFormat/>
    <w:uiPriority w:val="0"/>
    <w:rPr>
      <w:rFonts w:ascii="Calibri" w:hAnsi="Calibri"/>
    </w:rPr>
  </w:style>
  <w:style w:type="paragraph" w:customStyle="1" w:styleId="30">
    <w:name w:val="标题 5（有编号）（绿盟科技）"/>
    <w:basedOn w:val="31"/>
    <w:next w:val="3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3">
    <w:name w:val="页眉 字符"/>
    <w:basedOn w:val="26"/>
    <w:link w:val="16"/>
    <w:autoRedefine/>
    <w:qFormat/>
    <w:uiPriority w:val="99"/>
    <w:rPr>
      <w:sz w:val="18"/>
      <w:szCs w:val="18"/>
    </w:rPr>
  </w:style>
  <w:style w:type="character" w:customStyle="1" w:styleId="34">
    <w:name w:val="页脚 字符"/>
    <w:basedOn w:val="26"/>
    <w:link w:val="15"/>
    <w:autoRedefine/>
    <w:qFormat/>
    <w:uiPriority w:val="99"/>
    <w:rPr>
      <w:sz w:val="18"/>
      <w:szCs w:val="18"/>
    </w:rPr>
  </w:style>
  <w:style w:type="character" w:customStyle="1" w:styleId="35">
    <w:name w:val="标题 1 字符"/>
    <w:basedOn w:val="26"/>
    <w:link w:val="2"/>
    <w:autoRedefine/>
    <w:qFormat/>
    <w:uiPriority w:val="99"/>
    <w:rPr>
      <w:b/>
      <w:bCs/>
      <w:kern w:val="44"/>
      <w:sz w:val="44"/>
      <w:szCs w:val="44"/>
    </w:rPr>
  </w:style>
  <w:style w:type="character" w:customStyle="1" w:styleId="36">
    <w:name w:val="标题 2 字符"/>
    <w:basedOn w:val="26"/>
    <w:link w:val="3"/>
    <w:autoRedefine/>
    <w:qFormat/>
    <w:uiPriority w:val="0"/>
    <w:rPr>
      <w:rFonts w:ascii="Arial" w:hAnsi="Arial" w:eastAsia="仿宋"/>
      <w:b/>
      <w:bCs/>
      <w:sz w:val="28"/>
      <w:szCs w:val="32"/>
    </w:rPr>
  </w:style>
  <w:style w:type="character" w:customStyle="1" w:styleId="37">
    <w:name w:val="标题 3 字符"/>
    <w:basedOn w:val="26"/>
    <w:link w:val="4"/>
    <w:autoRedefine/>
    <w:qFormat/>
    <w:uiPriority w:val="0"/>
    <w:rPr>
      <w:rFonts w:eastAsia="仿宋"/>
      <w:b/>
      <w:sz w:val="30"/>
    </w:rPr>
  </w:style>
  <w:style w:type="character" w:customStyle="1" w:styleId="38">
    <w:name w:val="正文文本 字符"/>
    <w:basedOn w:val="26"/>
    <w:link w:val="9"/>
    <w:autoRedefine/>
    <w:qFormat/>
    <w:uiPriority w:val="0"/>
  </w:style>
  <w:style w:type="character" w:customStyle="1" w:styleId="39">
    <w:name w:val="批注文字 字符"/>
    <w:basedOn w:val="26"/>
    <w:link w:val="7"/>
    <w:autoRedefine/>
    <w:qFormat/>
    <w:uiPriority w:val="0"/>
  </w:style>
  <w:style w:type="character" w:customStyle="1" w:styleId="40">
    <w:name w:val="正文文本缩进 2 字符"/>
    <w:basedOn w:val="26"/>
    <w:link w:val="13"/>
    <w:autoRedefine/>
    <w:qFormat/>
    <w:uiPriority w:val="0"/>
    <w:rPr>
      <w:sz w:val="32"/>
    </w:rPr>
  </w:style>
  <w:style w:type="character" w:customStyle="1" w:styleId="41">
    <w:name w:val="副标题 字符"/>
    <w:basedOn w:val="26"/>
    <w:link w:val="18"/>
    <w:autoRedefine/>
    <w:qFormat/>
    <w:uiPriority w:val="0"/>
    <w:rPr>
      <w:sz w:val="28"/>
    </w:rPr>
  </w:style>
  <w:style w:type="character" w:customStyle="1" w:styleId="42">
    <w:name w:val="正文文本首行缩进 字符"/>
    <w:basedOn w:val="38"/>
    <w:link w:val="23"/>
    <w:autoRedefine/>
    <w:qFormat/>
    <w:uiPriority w:val="0"/>
    <w:rPr>
      <w:rFonts w:ascii="宋体" w:hAnsi="宋体"/>
      <w:sz w:val="24"/>
    </w:rPr>
  </w:style>
  <w:style w:type="paragraph" w:customStyle="1" w:styleId="43">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表格"/>
    <w:basedOn w:val="1"/>
    <w:autoRedefine/>
    <w:qFormat/>
    <w:uiPriority w:val="0"/>
    <w:pPr>
      <w:spacing w:line="400" w:lineRule="exact"/>
    </w:pPr>
    <w:rPr>
      <w:sz w:val="24"/>
      <w:szCs w:val="24"/>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列出段落1"/>
    <w:basedOn w:val="1"/>
    <w:autoRedefine/>
    <w:qFormat/>
    <w:uiPriority w:val="0"/>
    <w:pPr>
      <w:ind w:firstLine="420" w:firstLineChars="200"/>
    </w:pPr>
    <w:rPr>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0">
    <w:name w:val="font31"/>
    <w:autoRedefine/>
    <w:qFormat/>
    <w:uiPriority w:val="0"/>
    <w:rPr>
      <w:rFonts w:hint="eastAsia" w:ascii="宋体" w:hAnsi="宋体" w:eastAsia="宋体" w:cs="宋体"/>
      <w:b/>
      <w:color w:val="000000"/>
      <w:sz w:val="22"/>
      <w:szCs w:val="22"/>
      <w:u w:val="none"/>
    </w:rPr>
  </w:style>
  <w:style w:type="character" w:customStyle="1" w:styleId="51">
    <w:name w:val="font21"/>
    <w:autoRedefine/>
    <w:qFormat/>
    <w:uiPriority w:val="0"/>
    <w:rPr>
      <w:rFonts w:hint="eastAsia" w:ascii="宋体" w:hAnsi="宋体" w:eastAsia="宋体" w:cs="宋体"/>
      <w:color w:val="000000"/>
      <w:sz w:val="20"/>
      <w:szCs w:val="20"/>
      <w:u w:val="none"/>
    </w:rPr>
  </w:style>
  <w:style w:type="character" w:customStyle="1" w:styleId="52">
    <w:name w:val="font81"/>
    <w:basedOn w:val="26"/>
    <w:autoRedefine/>
    <w:qFormat/>
    <w:uiPriority w:val="0"/>
    <w:rPr>
      <w:rFonts w:hint="eastAsia" w:ascii="宋体" w:hAnsi="宋体" w:eastAsia="宋体" w:cs="宋体"/>
      <w:b/>
      <w:color w:val="000000"/>
      <w:sz w:val="22"/>
      <w:szCs w:val="22"/>
      <w:u w:val="none"/>
    </w:rPr>
  </w:style>
  <w:style w:type="character" w:customStyle="1" w:styleId="53">
    <w:name w:val="日期 字符"/>
    <w:basedOn w:val="26"/>
    <w:link w:val="12"/>
    <w:autoRedefine/>
    <w:semiHidden/>
    <w:qFormat/>
    <w:uiPriority w:val="99"/>
    <w:rPr>
      <w:kern w:val="2"/>
      <w:sz w:val="21"/>
      <w:szCs w:val="22"/>
    </w:rPr>
  </w:style>
  <w:style w:type="character" w:customStyle="1" w:styleId="54">
    <w:name w:val="批注主题 字符"/>
    <w:basedOn w:val="39"/>
    <w:link w:val="22"/>
    <w:autoRedefine/>
    <w:semiHidden/>
    <w:qFormat/>
    <w:uiPriority w:val="99"/>
    <w:rPr>
      <w:b/>
      <w:bCs/>
      <w:kern w:val="2"/>
      <w:sz w:val="21"/>
      <w:szCs w:val="22"/>
    </w:rPr>
  </w:style>
  <w:style w:type="paragraph" w:customStyle="1" w:styleId="55">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6">
    <w:name w:val="批注框文本 字符"/>
    <w:basedOn w:val="26"/>
    <w:link w:val="14"/>
    <w:autoRedefine/>
    <w:semiHidden/>
    <w:qFormat/>
    <w:uiPriority w:val="99"/>
    <w:rPr>
      <w:kern w:val="2"/>
      <w:sz w:val="18"/>
      <w:szCs w:val="18"/>
    </w:rPr>
  </w:style>
  <w:style w:type="character" w:customStyle="1" w:styleId="57">
    <w:name w:val="font11"/>
    <w:basedOn w:val="26"/>
    <w:autoRedefine/>
    <w:qFormat/>
    <w:uiPriority w:val="0"/>
    <w:rPr>
      <w:rFonts w:hint="eastAsia" w:ascii="宋体" w:hAnsi="宋体" w:eastAsia="宋体" w:cs="宋体"/>
      <w:color w:val="000000"/>
      <w:sz w:val="21"/>
      <w:szCs w:val="21"/>
      <w:u w:val="none"/>
    </w:rPr>
  </w:style>
  <w:style w:type="paragraph" w:styleId="58">
    <w:name w:val="List Paragraph"/>
    <w:basedOn w:val="1"/>
    <w:autoRedefine/>
    <w:qFormat/>
    <w:uiPriority w:val="99"/>
    <w:pPr>
      <w:ind w:firstLine="420" w:firstLineChars="200"/>
    </w:pPr>
  </w:style>
  <w:style w:type="table" w:customStyle="1" w:styleId="5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0">
    <w:name w:val="正文首行缩进两字符"/>
    <w:basedOn w:val="1"/>
    <w:qFormat/>
    <w:uiPriority w:val="0"/>
    <w:pPr>
      <w:spacing w:line="360" w:lineRule="auto"/>
      <w:ind w:firstLine="200" w:firstLineChars="200"/>
    </w:pPr>
  </w:style>
  <w:style w:type="character" w:customStyle="1" w:styleId="61">
    <w:name w:val="font01"/>
    <w:basedOn w:val="26"/>
    <w:qFormat/>
    <w:uiPriority w:val="0"/>
    <w:rPr>
      <w:rFonts w:hint="eastAsia" w:ascii="宋体" w:hAnsi="宋体" w:eastAsia="宋体" w:cs="宋体"/>
      <w:color w:val="000000"/>
      <w:sz w:val="24"/>
      <w:szCs w:val="24"/>
      <w:u w:val="none"/>
    </w:rPr>
  </w:style>
  <w:style w:type="paragraph" w:customStyle="1" w:styleId="62">
    <w:name w:val="Table Text"/>
    <w:basedOn w:val="1"/>
    <w:semiHidden/>
    <w:qFormat/>
    <w:uiPriority w:val="0"/>
    <w:rPr>
      <w:rFonts w:ascii="Arial" w:hAnsi="Arial" w:eastAsia="Arial" w:cs="Arial"/>
      <w:szCs w:val="21"/>
      <w:lang w:eastAsia="en-US"/>
    </w:rPr>
  </w:style>
  <w:style w:type="paragraph" w:customStyle="1" w:styleId="63">
    <w:name w:val="小四正文"/>
    <w:basedOn w:val="1"/>
    <w:next w:val="1"/>
    <w:qFormat/>
    <w:locked/>
    <w:uiPriority w:val="99"/>
    <w:pPr>
      <w:spacing w:line="360" w:lineRule="auto"/>
      <w:ind w:firstLine="200" w:firstLineChars="200"/>
    </w:pPr>
    <w:rPr>
      <w:rFonts w:eastAsia="宋体"/>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51</Pages>
  <Words>23697</Words>
  <Characters>24304</Characters>
  <Lines>187</Lines>
  <Paragraphs>52</Paragraphs>
  <TotalTime>26</TotalTime>
  <ScaleCrop>false</ScaleCrop>
  <LinksUpToDate>false</LinksUpToDate>
  <CharactersWithSpaces>24831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2024-06-19T01:36:53Z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30BF2A90811447149A0BC9FD83390EB0_13</vt:lpwstr>
  </property>
</Properties>
</file>